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rPr>
          <w:highlight w:val="yellow"/>
        </w:rPr>
      </w:pPr>
      <w:r w:rsidDel="00000000" w:rsidR="00000000" w:rsidRPr="00000000">
        <w:rPr>
          <w:highlight w:val="yellow"/>
          <w:rtl w:val="0"/>
        </w:rPr>
        <w:t xml:space="preserve">[insert email banner here]</w:t>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t xml:space="preserve">Dear Colleague,</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Every patient who is a victim of violence deserves expert healthcare and a path to seek healing and justice on their own terms. Forensic nurses deliver that specialized care and commitment. </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November 3-9, 2025 is Forensic Nurses Week, established by the International</w:t>
      </w:r>
    </w:p>
    <w:p w:rsidR="00000000" w:rsidDel="00000000" w:rsidP="00000000" w:rsidRDefault="00000000" w:rsidRPr="00000000" w14:paraId="00000009">
      <w:pPr>
        <w:ind w:left="720" w:firstLine="0"/>
        <w:rPr/>
      </w:pPr>
      <w:r w:rsidDel="00000000" w:rsidR="00000000" w:rsidRPr="00000000">
        <w:rPr>
          <w:rtl w:val="0"/>
        </w:rPr>
        <w:t xml:space="preserve">Association of Forensic Nurses (IAFN) to honor the extraordinary work of nurses</w:t>
      </w:r>
    </w:p>
    <w:p w:rsidR="00000000" w:rsidDel="00000000" w:rsidP="00000000" w:rsidRDefault="00000000" w:rsidRPr="00000000" w14:paraId="0000000A">
      <w:pPr>
        <w:ind w:left="720" w:firstLine="0"/>
        <w:rPr/>
      </w:pPr>
      <w:r w:rsidDel="00000000" w:rsidR="00000000" w:rsidRPr="00000000">
        <w:rPr>
          <w:rtl w:val="0"/>
        </w:rPr>
        <w:t xml:space="preserve">who practice in this unique nursing specialty.</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Patients who experience violence sustain physical injuries, as well as acute and chronic physical and mental health conditions. Many suffer from STIs, depression, suicidal ideation, substance abuse and more in the short-term. Others suffer from reproductive complications, cancer, cardiovascular and other chronic diseases in the long run.</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Forensic nursing serves to ensure that patients who are affected by violence receive expert, trauma-informed, compassionate, and comprehensive health care. This evidence-based care best addresses acute and long-term consequences of violence, improves patient recovery, and lowers healthcare costs.</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Forensic nurses serve as a critical touchpoint for victims of violence. They address not only the patient’s injuries but also their choices about evidence collection and justice.</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Please take a moment to learn more about forensic nursing and IAFN’s resources for providers by visiting ForensicNurses.org.</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Sincerely,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w:t>
      </w:r>
      <w:r w:rsidDel="00000000" w:rsidR="00000000" w:rsidRPr="00000000">
        <w:rPr>
          <w:highlight w:val="yellow"/>
          <w:rtl w:val="0"/>
        </w:rPr>
        <w:t xml:space="preserve">insert the email signature banner here.</w:t>
      </w: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