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DD" w:rsidRPr="00BA38D5" w:rsidRDefault="00982ADD" w:rsidP="00982ADD">
      <w:pPr>
        <w:spacing w:after="160" w:line="259" w:lineRule="auto"/>
        <w:rPr>
          <w:lang w:val="es-MX"/>
        </w:rPr>
      </w:pPr>
      <w:bookmarkStart w:id="0" w:name="_Hlk52198322"/>
      <w:bookmarkStart w:id="1" w:name="_GoBack"/>
      <w:bookmarkEnd w:id="1"/>
    </w:p>
    <w:p w:rsidR="00982ADD" w:rsidRPr="00BA38D5" w:rsidRDefault="00982ADD" w:rsidP="00982ADD">
      <w:pPr>
        <w:rPr>
          <w:lang w:val="es-MX"/>
        </w:rPr>
      </w:pPr>
    </w:p>
    <w:p w:rsidR="00982ADD" w:rsidRPr="00BA38D5" w:rsidRDefault="00982ADD" w:rsidP="00982ADD">
      <w:pPr>
        <w:rPr>
          <w:lang w:val="es-MX"/>
        </w:rPr>
      </w:pPr>
    </w:p>
    <w:p w:rsidR="00982ADD" w:rsidRPr="00BA38D5" w:rsidRDefault="00982ADD" w:rsidP="00982ADD">
      <w:pPr>
        <w:spacing w:after="0" w:line="240" w:lineRule="auto"/>
        <w:ind w:left="-86"/>
        <w:rPr>
          <w:rFonts w:asciiTheme="minorHAnsi" w:hAnsiTheme="minorHAnsi"/>
          <w:lang w:val="es-MX"/>
        </w:rPr>
      </w:pPr>
    </w:p>
    <w:p w:rsidR="00982ADD" w:rsidRPr="00BA38D5" w:rsidRDefault="00982ADD" w:rsidP="00982ADD">
      <w:pPr>
        <w:spacing w:after="0"/>
        <w:ind w:left="-86" w:hanging="364"/>
        <w:rPr>
          <w:rFonts w:asciiTheme="minorHAnsi" w:hAnsi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 xml:space="preserve">Título de la actividad: </w:t>
      </w:r>
      <w:sdt>
        <w:sdtPr>
          <w:rPr>
            <w:rFonts w:asciiTheme="minorHAnsi" w:hAnsiTheme="minorHAnsi"/>
            <w:b/>
            <w:lang w:val="es-MX"/>
          </w:rPr>
          <w:id w:val="-864667583"/>
          <w:placeholder>
            <w:docPart w:val="E5155C609651405C9B9D70FB9CFBEA96"/>
          </w:placeholder>
          <w:text/>
        </w:sdtPr>
        <w:sdtEndPr/>
        <w:sdtContent>
          <w:r w:rsidRPr="00BA38D5">
            <w:rPr>
              <w:rFonts w:asciiTheme="minorHAnsi" w:hAnsiTheme="minorHAnsi"/>
              <w:b/>
              <w:lang w:val="es-MX"/>
            </w:rPr>
            <w:t xml:space="preserve">Curso EECAS-Adulta/Adolescente </w:t>
          </w:r>
          <w:r w:rsidRPr="00BA38D5">
            <w:rPr>
              <w:rFonts w:asciiTheme="minorHAnsi" w:hAnsiTheme="minorHAnsi"/>
              <w:b/>
              <w:lang w:val="es-MX"/>
            </w:rPr>
            <w:tab/>
          </w:r>
          <w:r w:rsidRPr="00BA38D5">
            <w:rPr>
              <w:rFonts w:asciiTheme="minorHAnsi" w:hAnsiTheme="minorHAnsi"/>
              <w:b/>
              <w:lang w:val="es-MX"/>
            </w:rPr>
            <w:tab/>
            <w:t xml:space="preserve"> Fecha del curso/Lugar de la actividad:</w:t>
          </w:r>
        </w:sdtContent>
      </w:sdt>
      <w:r w:rsidRPr="00BA38D5">
        <w:rPr>
          <w:rFonts w:asciiTheme="minorHAnsi" w:hAnsiTheme="minorHAnsi"/>
          <w:b/>
          <w:lang w:val="es-MX"/>
        </w:rPr>
        <w:t xml:space="preserve"> </w:t>
      </w:r>
      <w:sdt>
        <w:sdtPr>
          <w:rPr>
            <w:b/>
          </w:rPr>
          <w:id w:val="491690510"/>
          <w:placeholder>
            <w:docPart w:val="0CB9A892BB9B4CA2A6D787A1F7C1282D"/>
          </w:placeholder>
          <w:showingPlcHdr/>
          <w:text/>
        </w:sdtPr>
        <w:sdtEndPr/>
        <w:sdtContent>
          <w:r w:rsidRPr="00BA38D5">
            <w:rPr>
              <w:rStyle w:val="PlaceholderText"/>
              <w:lang w:val="es-MX"/>
            </w:rPr>
            <w:t>Haga click aquí para añadir texto.</w:t>
          </w:r>
        </w:sdtContent>
      </w:sdt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>Por favor, use la herramienta de análisis diferencial provista para responder a las siguientes preguntas</w:t>
      </w:r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 xml:space="preserve">Descripción del estado actual </w:t>
      </w:r>
      <w:sdt>
        <w:sdtPr>
          <w:rPr>
            <w:rFonts w:asciiTheme="minorHAnsi" w:eastAsiaTheme="minorHAnsi" w:hAnsiTheme="minorHAnsi" w:cstheme="minorHAnsi"/>
            <w:color w:val="000000" w:themeColor="text1"/>
            <w:lang w:val="es-MX"/>
          </w:rPr>
          <w:id w:val="1796246895"/>
          <w:placeholder>
            <w:docPart w:val="3FF6E13DF42E47229E5778F8EC6629C2"/>
          </w:placeholder>
          <w:text/>
        </w:sdtPr>
        <w:sdtEndPr/>
        <w:sdtContent>
          <w:r w:rsidRPr="00BA38D5">
            <w:rPr>
              <w:rFonts w:asciiTheme="minorHAnsi" w:eastAsiaTheme="minorHAnsi" w:hAnsiTheme="minorHAnsi" w:cstheme="minorHAnsi"/>
              <w:color w:val="000000" w:themeColor="text1"/>
              <w:lang w:val="es-MX"/>
            </w:rPr>
            <w:t>Sólo el 17% de los departamentos de emergencia tienen programas de enfermeras examinadoras en casos de agresión sexual (EECAS), debido a la falta de enfermeras registradas capacitadas que puedan funcionar como EECAS.</w:t>
          </w:r>
        </w:sdtContent>
      </w:sdt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 xml:space="preserve">Descripción del estado deseado/logrado: </w:t>
      </w:r>
      <w:sdt>
        <w:sdtPr>
          <w:rPr>
            <w:rFonts w:asciiTheme="minorHAnsi" w:hAnsiTheme="minorHAnsi" w:cstheme="minorHAnsi"/>
            <w:lang w:val="es-MX"/>
          </w:rPr>
          <w:id w:val="757484499"/>
          <w:placeholder>
            <w:docPart w:val="63C5387F70D34E78A1548006D6AFA42D"/>
          </w:placeholder>
          <w:text/>
        </w:sdtPr>
        <w:sdtEndPr/>
        <w:sdtContent>
          <w:r w:rsidRPr="00BA38D5">
            <w:rPr>
              <w:rFonts w:asciiTheme="minorHAnsi" w:hAnsiTheme="minorHAnsi" w:cstheme="minorHAnsi"/>
              <w:lang w:val="es-MX"/>
            </w:rPr>
            <w:t>Todas las enfermeras certificadas que atienden a las pacientes que presentan una queja de violencia sexual tienen la capacidad de proporcionar un examen completo de agresión sexual (SAE)</w:t>
          </w:r>
        </w:sdtContent>
      </w:sdt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 xml:space="preserve">Deficiencia(s) identificada(s):  </w:t>
      </w:r>
      <w:sdt>
        <w:sdtPr>
          <w:rPr>
            <w:b/>
            <w:lang w:val="es-MX"/>
          </w:rPr>
          <w:id w:val="875734539"/>
          <w:placeholder>
            <w:docPart w:val="9C9122485B8A4C66949A2D3F1C363CF8"/>
          </w:placeholder>
          <w:text/>
        </w:sdtPr>
        <w:sdtEndPr/>
        <w:sdtContent>
          <w:r w:rsidRPr="00BA38D5">
            <w:rPr>
              <w:b/>
              <w:lang w:val="es-MX"/>
            </w:rPr>
            <w:t>Falta de enfermeras certificadas capacitadas como EECAS</w:t>
          </w:r>
        </w:sdtContent>
      </w:sdt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  <w:lang w:val="es-MX"/>
        </w:rPr>
      </w:pPr>
      <w:r w:rsidRPr="00BA38D5">
        <w:rPr>
          <w:b/>
          <w:bCs/>
          <w:lang w:val="es-MX"/>
        </w:rPr>
        <w:t>Deficiencia que esta actividad debe abordar</w:t>
      </w:r>
      <w:r w:rsidRPr="00BA38D5">
        <w:rPr>
          <w:rFonts w:asciiTheme="minorHAnsi" w:hAnsiTheme="minorHAnsi"/>
          <w:b/>
          <w:bCs/>
          <w:lang w:val="es-MX"/>
        </w:rPr>
        <w:t>:</w:t>
      </w:r>
      <w:r w:rsidRPr="00BA38D5">
        <w:rPr>
          <w:rFonts w:asciiTheme="minorHAnsi" w:hAnsiTheme="minorHAnsi"/>
          <w:b/>
          <w:lang w:val="es-MX"/>
        </w:rPr>
        <w:t xml:space="preserve">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488048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☒</w:t>
          </w:r>
        </w:sdtContent>
      </w:sdt>
      <w:r w:rsidRPr="00BA38D5">
        <w:rPr>
          <w:rFonts w:asciiTheme="minorHAnsi" w:hAnsiTheme="minorHAnsi"/>
          <w:snapToGrid w:val="0"/>
          <w:lang w:val="es-MX"/>
        </w:rPr>
        <w:t xml:space="preserve"> </w:t>
      </w:r>
      <w:r w:rsidRPr="00BA38D5">
        <w:rPr>
          <w:rFonts w:asciiTheme="minorHAnsi" w:hAnsiTheme="minorHAnsi"/>
          <w:b/>
          <w:lang w:val="es-MX"/>
        </w:rPr>
        <w:t xml:space="preserve">Conocimientos      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80989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Pr="00BA38D5">
        <w:rPr>
          <w:rFonts w:asciiTheme="minorHAnsi" w:hAnsiTheme="minorHAnsi"/>
          <w:lang w:val="es-MX"/>
        </w:rPr>
        <w:t xml:space="preserve"> </w:t>
      </w:r>
      <w:r w:rsidRPr="00BA38D5">
        <w:rPr>
          <w:rFonts w:asciiTheme="minorHAnsi" w:hAnsiTheme="minorHAnsi"/>
          <w:b/>
          <w:lang w:val="es-MX"/>
        </w:rPr>
        <w:t xml:space="preserve">Aptitudes      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70583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Pr="00BA38D5">
        <w:rPr>
          <w:rFonts w:asciiTheme="minorHAnsi" w:hAnsiTheme="minorHAnsi"/>
          <w:snapToGrid w:val="0"/>
          <w:lang w:val="es-MX"/>
        </w:rPr>
        <w:t xml:space="preserve"> </w:t>
      </w:r>
      <w:r w:rsidRPr="00BA38D5">
        <w:rPr>
          <w:rFonts w:asciiTheme="minorHAnsi" w:hAnsiTheme="minorHAnsi"/>
          <w:b/>
          <w:lang w:val="es-MX"/>
        </w:rPr>
        <w:t>Práctica</w:t>
      </w:r>
      <w:r w:rsidRPr="00BA38D5">
        <w:rPr>
          <w:rFonts w:asciiTheme="minorHAnsi" w:hAnsiTheme="minorHAnsi"/>
          <w:lang w:val="es-MX"/>
        </w:rPr>
        <w:t xml:space="preserve">       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619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Pr="00BA38D5">
        <w:rPr>
          <w:rFonts w:asciiTheme="minorHAnsi" w:hAnsiTheme="minorHAnsi"/>
          <w:snapToGrid w:val="0"/>
          <w:lang w:val="es-MX"/>
        </w:rPr>
        <w:t xml:space="preserve"> </w:t>
      </w:r>
      <w:r w:rsidRPr="00BA38D5">
        <w:rPr>
          <w:rFonts w:asciiTheme="minorHAnsi" w:hAnsiTheme="minorHAnsi"/>
          <w:b/>
          <w:lang w:val="es-MX"/>
        </w:rPr>
        <w:t xml:space="preserve">Otras: Describir </w:t>
      </w:r>
      <w:sdt>
        <w:sdtPr>
          <w:rPr>
            <w:b/>
          </w:rPr>
          <w:id w:val="128443632"/>
          <w:placeholder>
            <w:docPart w:val="2A6E2B49DB73467A83A50009052C5518"/>
          </w:placeholder>
          <w:showingPlcHdr/>
          <w:text/>
        </w:sdtPr>
        <w:sdtEndPr/>
        <w:sdtContent>
          <w:r w:rsidRPr="00BA38D5">
            <w:rPr>
              <w:rStyle w:val="PlaceholderText"/>
              <w:lang w:val="es-MX"/>
            </w:rPr>
            <w:t>Haga click aquí para añadir texto.</w:t>
          </w:r>
        </w:sdtContent>
      </w:sdt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b/>
          <w:lang w:val="es-MX"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14310"/>
      </w:tblGrid>
      <w:tr w:rsidR="00982ADD" w:rsidRPr="00BD3DDB" w:rsidTr="00283DD3">
        <w:trPr>
          <w:trHeight w:val="1782"/>
        </w:trPr>
        <w:tc>
          <w:tcPr>
            <w:tcW w:w="14310" w:type="dxa"/>
          </w:tcPr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line="216" w:lineRule="auto"/>
              <w:rPr>
                <w:rFonts w:cs="Calibri"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 xml:space="preserve">Resultado(s) del aprendizaje al participar en la actividad:  </w:t>
            </w:r>
            <w:r w:rsidRPr="00BA38D5">
              <w:rPr>
                <w:b/>
                <w:lang w:val="es-MX"/>
              </w:rPr>
              <w:t xml:space="preserve"> </w:t>
            </w:r>
            <w:r w:rsidRPr="00BA38D5">
              <w:rPr>
                <w:lang w:val="es-MX"/>
              </w:rPr>
              <w:t xml:space="preserve">El resultado general del aprendizaje de la educación básica EECAS es proporcionar a las enfermeras certificadas y a las enfermeras de práctica avanzada los conocimientos, las aptitudes y el criterio necesarios para prestar una atención competente, amplia, centrada en la paciente y coordinada con las pacientes que están siendo evaluadas por agresión sexual o que se sospecha que han sido objeto de agresión sexual. 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line="216" w:lineRule="auto"/>
              <w:rPr>
                <w:b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b/>
                <w:bCs/>
                <w:lang w:val="es-MX"/>
              </w:rPr>
              <w:t>Seleccione todos los que correspondan:</w:t>
            </w:r>
            <w:r w:rsidRPr="00BA38D5">
              <w:rPr>
                <w:rFonts w:asciiTheme="minorHAnsi" w:hAnsiTheme="minorHAnsi"/>
                <w:b/>
                <w:lang w:val="es-MX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lang w:val="es-MX"/>
                </w:rPr>
                <w:id w:val="1171922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8D5">
                  <w:rPr>
                    <w:rFonts w:ascii="MS Gothic" w:eastAsia="MS Gothic" w:hAnsi="MS Gothic" w:hint="eastAsia"/>
                    <w:b/>
                    <w:lang w:val="es-MX"/>
                  </w:rPr>
                  <w:t>☒</w:t>
                </w:r>
              </w:sdtContent>
            </w:sdt>
            <w:r w:rsidRPr="00BA38D5">
              <w:rPr>
                <w:rFonts w:asciiTheme="minorHAnsi" w:hAnsiTheme="minorHAnsi"/>
                <w:b/>
                <w:lang w:val="es-MX"/>
              </w:rPr>
              <w:t xml:space="preserve"> </w:t>
            </w:r>
            <w:r w:rsidRPr="00BA38D5">
              <w:rPr>
                <w:b/>
                <w:bCs/>
                <w:lang w:val="es-MX"/>
              </w:rPr>
              <w:t>Desarrollo profesional en enfermería</w:t>
            </w:r>
            <w:r w:rsidRPr="00BA38D5">
              <w:rPr>
                <w:lang w:val="es-MX"/>
              </w:rPr>
              <w:cr/>
            </w:r>
            <w:r w:rsidRPr="00BA38D5">
              <w:rPr>
                <w:lang w:val="es-MX"/>
              </w:rPr>
              <w:br/>
            </w:r>
            <w:r w:rsidRPr="00BA38D5">
              <w:rPr>
                <w:rFonts w:asciiTheme="minorHAnsi" w:hAnsiTheme="minorHAnsi"/>
                <w:b/>
                <w:lang w:val="es-MX"/>
              </w:rPr>
              <w:t xml:space="preserve">      </w:t>
            </w:r>
            <w:sdt>
              <w:sdtPr>
                <w:rPr>
                  <w:rFonts w:asciiTheme="minorHAnsi" w:hAnsiTheme="minorHAnsi"/>
                  <w:b/>
                  <w:lang w:val="es-MX"/>
                </w:rPr>
                <w:id w:val="126596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8D5">
                  <w:rPr>
                    <w:rFonts w:ascii="MS Gothic" w:eastAsia="MS Gothic" w:hAnsi="MS Gothic" w:hint="eastAsia"/>
                    <w:b/>
                    <w:lang w:val="es-MX"/>
                  </w:rPr>
                  <w:t>☐</w:t>
                </w:r>
              </w:sdtContent>
            </w:sdt>
            <w:r w:rsidRPr="00BA38D5">
              <w:rPr>
                <w:rFonts w:asciiTheme="minorHAnsi" w:hAnsiTheme="minorHAnsi"/>
                <w:b/>
                <w:lang w:val="es-MX"/>
              </w:rPr>
              <w:t xml:space="preserve"> Resultado de la paciente     </w:t>
            </w:r>
            <w:sdt>
              <w:sdtPr>
                <w:rPr>
                  <w:rFonts w:asciiTheme="minorHAnsi" w:hAnsiTheme="minorHAnsi"/>
                  <w:b/>
                  <w:lang w:val="es-MX"/>
                </w:rPr>
                <w:id w:val="-10990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8D5">
                  <w:rPr>
                    <w:rFonts w:ascii="MS Gothic" w:eastAsia="MS Gothic" w:hAnsi="MS Gothic" w:cs="MS Gothic" w:hint="eastAsia"/>
                    <w:b/>
                    <w:lang w:val="es-MX"/>
                  </w:rPr>
                  <w:t>☐</w:t>
                </w:r>
              </w:sdtContent>
            </w:sdt>
            <w:r w:rsidRPr="00BA38D5">
              <w:rPr>
                <w:rFonts w:asciiTheme="minorHAnsi" w:hAnsiTheme="minorHAnsi"/>
                <w:b/>
                <w:lang w:val="es-MX"/>
              </w:rPr>
              <w:t xml:space="preserve"> Otro: Describir </w:t>
            </w:r>
            <w:r w:rsidRPr="00BA38D5">
              <w:rPr>
                <w:b/>
                <w:lang w:val="es-MX"/>
              </w:rPr>
              <w:t xml:space="preserve"> </w:t>
            </w:r>
            <w:sdt>
              <w:sdtPr>
                <w:rPr>
                  <w:b/>
                </w:rPr>
                <w:id w:val="-705096693"/>
                <w:placeholder>
                  <w:docPart w:val="CBB629FDEDB04FD094BC5A8F2D08E4A6"/>
                </w:placeholder>
                <w:showingPlcHdr/>
                <w:text/>
              </w:sdtPr>
              <w:sdtEndPr/>
              <w:sdtContent>
                <w:r w:rsidRPr="00BA38D5">
                  <w:rPr>
                    <w:rStyle w:val="PlaceholderText"/>
                    <w:lang w:val="es-MX"/>
                  </w:rPr>
                  <w:t>Haga click aquí para añadir texto.</w:t>
                </w:r>
              </w:sdtContent>
            </w:sdt>
          </w:p>
        </w:tc>
      </w:tr>
    </w:tbl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  <w:lang w:val="es-MX"/>
        </w:rPr>
      </w:pPr>
    </w:p>
    <w:tbl>
      <w:tblPr>
        <w:tblpPr w:leftFromText="180" w:rightFromText="180" w:vertAnchor="text" w:horzAnchor="margin" w:tblpXSpec="center" w:tblpY="219"/>
        <w:tblW w:w="14585" w:type="dxa"/>
        <w:tblLayout w:type="fixed"/>
        <w:tblLook w:val="0060" w:firstRow="1" w:lastRow="1" w:firstColumn="0" w:lastColumn="0" w:noHBand="0" w:noVBand="0"/>
      </w:tblPr>
      <w:tblGrid>
        <w:gridCol w:w="4315"/>
        <w:gridCol w:w="2977"/>
        <w:gridCol w:w="7293"/>
      </w:tblGrid>
      <w:tr w:rsidR="00982ADD" w:rsidRPr="00BD3DDB" w:rsidTr="00283DD3">
        <w:trPr>
          <w:trHeight w:val="3890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Sección 1: Visión general de la enfermería forense y de la violencia sexual</w:t>
            </w:r>
          </w:p>
          <w:p w:rsidR="00982ADD" w:rsidRPr="00BA38D5" w:rsidRDefault="00982ADD" w:rsidP="00283DD3">
            <w:pPr>
              <w:pStyle w:val="ListParagraph"/>
              <w:tabs>
                <w:tab w:val="left" w:pos="720"/>
              </w:tabs>
              <w:ind w:hanging="36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A.    Panorama de la enfermería forense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Historia y evolución de la enfermería forense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Papel de la EECAS de adultas y adolescentes en el cuidado de las poblaciones de pacientes adultas y adolescentes objeto de agresión sexual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Papel de la EECAS adulta/adolescente y la educación y prevención de la violencia sexual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Función de la Asociación Internacional de Enfermería Forense en el establecimiento del ámbito y las normas de la práctica de la enfermería forense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Aspectos clave de </w:t>
            </w:r>
            <w:r w:rsidRPr="00BA38D5">
              <w:rPr>
                <w:rFonts w:asciiTheme="minorHAnsi" w:hAnsiTheme="minorHAnsi"/>
                <w:i/>
                <w:iCs/>
                <w:lang w:val="es-MX"/>
              </w:rPr>
              <w:t>Enfermería forense:</w:t>
            </w:r>
            <w:r w:rsidRPr="00BA38D5">
              <w:rPr>
                <w:rFonts w:asciiTheme="minorHAnsi" w:hAnsiTheme="minorHAnsi"/>
                <w:lang w:val="es-MX"/>
              </w:rPr>
              <w:t xml:space="preserve"> </w:t>
            </w:r>
            <w:r w:rsidRPr="00BA38D5">
              <w:rPr>
                <w:rFonts w:asciiTheme="minorHAnsi" w:hAnsiTheme="minorHAnsi"/>
                <w:i/>
                <w:lang w:val="es-MX"/>
              </w:rPr>
              <w:t xml:space="preserve"> </w:t>
            </w:r>
            <w:r w:rsidRPr="00BA38D5">
              <w:rPr>
                <w:rFonts w:asciiTheme="minorHAnsi" w:hAnsiTheme="minorHAnsi"/>
                <w:i/>
                <w:iCs/>
                <w:lang w:val="es-MX"/>
              </w:rPr>
              <w:t>ámbito y normas de práctica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Conducta profesional y ética en relación con la práctica y la atención de la EECAS a pacientes adultas y adolescentes mediante los principios éticos de autonomía, beneficencia, no malversación, veracidad, confidencialidad y justicia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Recursos de enfermería, a nivel local y mundial, que contribuyen a la práctica actual y competente de la EECAS de adultas/adolescentes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Traumatismo vicario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Métodos para prevenir el trauma indirecto asociado con la práctica de EECAS en adultas/adolescentes</w:t>
            </w:r>
          </w:p>
          <w:p w:rsidR="00982ADD" w:rsidRPr="00BA38D5" w:rsidRDefault="00982ADD" w:rsidP="00982ADD">
            <w:pPr>
              <w:numPr>
                <w:ilvl w:val="3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Conceptos clave asociados con el uso de la práctica basada en pruebas en la atención a poblaciones de pacientes adultas y adolescentes objeto de de agresión sexual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9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Violencia sexual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Tipos de violencia sexual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Tipos de violencia en la pareja (VP)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Tasas de incidencia y prevalencia mundiales de la violencia sexual y la VP en las poblaciones adultas y adolescentes de ambos sexos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Factores de riesgo de violencia y abuso sexuales</w:t>
            </w:r>
          </w:p>
          <w:p w:rsidR="00982ADD" w:rsidRPr="00BA38D5" w:rsidRDefault="00982ADD" w:rsidP="00283DD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hanging="27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Consecuencias para la salud de la violencia y el abuso sexuales y la violencia simultáneos, incluidas las secuelas físicas, psicosociales, culturales y socioeconómicas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Retos singulares en materia de atención de la salud para las poblaciones que sufren de agresiones y abusos sexuales y las tasas de prevalencia conexas, entre otros: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Hombres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Reclusos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lang w:val="es-MX"/>
              </w:rPr>
              <w:t>GLBTQIA (gay, lesbiana, bisexual, transgénero, cuestionan su identidad sexual/</w:t>
            </w:r>
            <w:r w:rsidRPr="00BA38D5">
              <w:rPr>
                <w:i/>
                <w:lang w:val="es-MX"/>
              </w:rPr>
              <w:t>queer</w:t>
            </w:r>
            <w:r w:rsidRPr="00BA38D5">
              <w:rPr>
                <w:lang w:val="es-MX"/>
              </w:rPr>
              <w:t>, intersexual, agenérica/asexual)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Pacientes con discapacidades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Poblaciones culturalmente diversas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Poblaciones de salud mental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Pacientes con barreras de idioma/comunicación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Personas que son objeto de trata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Pacientes que están en el ejército</w:t>
            </w:r>
          </w:p>
          <w:p w:rsidR="00982ADD" w:rsidRPr="00BA38D5" w:rsidRDefault="00982ADD" w:rsidP="00283DD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hanging="27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Prácticas óptimas para mejorar la atención de enfermería forense a las poblaciones de pacientes desatendidas o vulnerables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Factores que influyen en la vulnerabilidad de las pacientes que son objeto de agresiones y abusos sexuales (es decir, experiencias adversas en la infancia, violencia generacional y personas que han sido criadas en el sistema de hogares de guarda)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lastRenderedPageBreak/>
              <w:t>Sesgos y creencias profundamente arraigadas relacionadas con la violencia sexual, el abuso y la violencia concomitante en las poblaciones de pacientes adultas y adolescentes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Conceptos clave de la conducta del delincuente y el efecto en las poblaciones de pacientes objeto de agresión sexual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Diferencias relacionadas con la violencia sexual entre las poblaciones de pacientes menores y adultas</w:t>
            </w:r>
          </w:p>
          <w:p w:rsidR="00982ADD" w:rsidRPr="00BA38D5" w:rsidRDefault="00982ADD" w:rsidP="00283DD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Demora en la revelación y la retractación como presentaciones comunes en la violencia y el abuso sexual</w:t>
            </w:r>
          </w:p>
          <w:p w:rsidR="00982ADD" w:rsidRPr="00BA38D5" w:rsidRDefault="00982ADD" w:rsidP="00283DD3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</w:p>
        </w:tc>
      </w:tr>
      <w:tr w:rsidR="00982ADD" w:rsidRPr="00BA38D5" w:rsidTr="00283DD3">
        <w:trPr>
          <w:trHeight w:val="965"/>
        </w:trPr>
        <w:tc>
          <w:tcPr>
            <w:tcW w:w="4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 w:cstheme="minorHAnsi"/>
                <w:b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202508677"/>
                <w:placeholder>
                  <w:docPart w:val="02826A204FB14512A75275DD92332ADB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rFonts w:asciiTheme="minorHAnsi" w:hAnsiTheme="minorHAnsi"/>
                <w:b/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  <w:b/>
              </w:rPr>
              <w:t xml:space="preserve">minutos </w:t>
            </w:r>
          </w:p>
          <w:p w:rsidR="00982ADD" w:rsidRPr="00BA38D5" w:rsidRDefault="00982ADD" w:rsidP="00283DD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  <w:p w:rsidR="00982ADD" w:rsidRPr="00BA38D5" w:rsidRDefault="00982ADD" w:rsidP="00283DD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BA38D5">
              <w:rPr>
                <w:rFonts w:asciiTheme="minorHAnsi" w:hAnsiTheme="minorHAnsi"/>
                <w:b/>
              </w:rPr>
              <w:t xml:space="preserve">Minutos recomendados: 405 minutos </w:t>
            </w:r>
          </w:p>
        </w:tc>
      </w:tr>
      <w:tr w:rsidR="00982ADD" w:rsidRPr="00BD3DDB" w:rsidTr="00283DD3">
        <w:trPr>
          <w:trHeight w:val="1430"/>
        </w:trPr>
        <w:tc>
          <w:tcPr>
            <w:tcW w:w="4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154844102"/>
            <w:placeholder>
              <w:docPart w:val="71B07DE12A424E4883DDC6381F2EB861"/>
            </w:placeholder>
            <w:showingPlcHdr/>
            <w:text/>
          </w:sdtPr>
          <w:sdtEndPr/>
          <w:sdtContent>
            <w:tc>
              <w:tcPr>
                <w:tcW w:w="10270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spacing w:after="0" w:line="240" w:lineRule="auto"/>
                  <w:contextualSpacing/>
                  <w:rPr>
                    <w:rFonts w:asciiTheme="minorHAnsi" w:hAnsiTheme="minorHAnsi" w:cstheme="minorHAnsi"/>
                    <w:b/>
                    <w:szCs w:val="24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251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9098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1077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95185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37307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2259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8696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0824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9049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2510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lastRenderedPageBreak/>
              <w:t>Sección 2: Respuesta de las víctimas e intervención en la crisis</w:t>
            </w:r>
          </w:p>
          <w:p w:rsidR="00982ADD" w:rsidRPr="00BA38D5" w:rsidRDefault="00982ADD" w:rsidP="00982ADD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Respuestas psicosociales comunes a la violencia sexual, el abuso y la violencia concomitante en las poblaciones adultas y adolescentes</w:t>
            </w:r>
          </w:p>
          <w:p w:rsidR="00982ADD" w:rsidRPr="00BA38D5" w:rsidRDefault="00982ADD" w:rsidP="00982ADD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Ramificaciones psicosociales agudas y a largo plazo asociadas a la violencia sexual, el abuso y la violencia simultánea</w:t>
            </w:r>
          </w:p>
          <w:p w:rsidR="00982ADD" w:rsidRPr="00BA38D5" w:rsidRDefault="00982ADD" w:rsidP="00982ADD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Respuestas y secuelas emocionales y psicológicas posteriores a la violencia sexual, incluidos los efectos de los traumas en la memoria, el funcionamiento cognitivo y la comunicación aplicables a las poblaciones de pacientes adultas y adolescentes víctimas de violencia sexual</w:t>
            </w:r>
          </w:p>
          <w:p w:rsidR="00982ADD" w:rsidRPr="00BA38D5" w:rsidRDefault="00982ADD" w:rsidP="00982ADD">
            <w:pPr>
              <w:numPr>
                <w:ilvl w:val="1"/>
                <w:numId w:val="1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Componentes clave de la evaluación del riesgo de suicidio</w:t>
            </w:r>
          </w:p>
          <w:p w:rsidR="00982ADD" w:rsidRPr="00BA38D5" w:rsidRDefault="00982ADD" w:rsidP="00982ADD">
            <w:pPr>
              <w:numPr>
                <w:ilvl w:val="1"/>
                <w:numId w:val="1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Componentes clave de la evaluación de riesgos para la seguridad</w:t>
            </w:r>
          </w:p>
          <w:p w:rsidR="00982ADD" w:rsidRPr="00BA38D5" w:rsidRDefault="00982ADD" w:rsidP="00982ADD">
            <w:pPr>
              <w:numPr>
                <w:ilvl w:val="1"/>
                <w:numId w:val="9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Diversas reacciones que pueden manifestarse en la paciente después de la violencia sexual</w:t>
            </w:r>
          </w:p>
          <w:p w:rsidR="00982ADD" w:rsidRPr="00BA38D5" w:rsidRDefault="00982ADD" w:rsidP="00982ADD">
            <w:pPr>
              <w:numPr>
                <w:ilvl w:val="1"/>
                <w:numId w:val="9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Factores de riesgo de secuelas psicosociales agudas y crónicas en pacientes adultas y adolescentes después de la violencia sexual, el abuso y la violencia concomitante</w:t>
            </w:r>
          </w:p>
          <w:p w:rsidR="00982ADD" w:rsidRPr="00BA38D5" w:rsidRDefault="00982ADD" w:rsidP="00982ADD">
            <w:pPr>
              <w:numPr>
                <w:ilvl w:val="1"/>
                <w:numId w:val="9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Preocupaciones comunes con respecto a la presentación de informes a las fuerzas del orden público después de actos de violencia sexual, abuso y violencia simultánea, y posibles ramificaciones psicosociales asociadas a esta decisión</w:t>
            </w:r>
          </w:p>
          <w:p w:rsidR="00982ADD" w:rsidRPr="00BA38D5" w:rsidRDefault="00982ADD" w:rsidP="00982ADD">
            <w:pPr>
              <w:numPr>
                <w:ilvl w:val="1"/>
                <w:numId w:val="9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Atención holística y culturalmente competente a las pacientes adultas y adolescentes que han sufrido agresiones sexuales, basada en datos de evaluación objetivos y subjetivos, resultados centrados en la paciente y tolerancia de la misma</w:t>
            </w:r>
          </w:p>
          <w:p w:rsidR="00982ADD" w:rsidRPr="00BA38D5" w:rsidRDefault="00982ADD" w:rsidP="00982ADD">
            <w:pPr>
              <w:numPr>
                <w:ilvl w:val="1"/>
                <w:numId w:val="9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Factores de riesgo de no adherencia en las poblaciones de pacientes adultas y adolescentes después de la violencia sexual</w:t>
            </w:r>
          </w:p>
          <w:p w:rsidR="00982ADD" w:rsidRPr="00BA38D5" w:rsidRDefault="00982ADD" w:rsidP="00982ADD">
            <w:pPr>
              <w:numPr>
                <w:ilvl w:val="1"/>
                <w:numId w:val="9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Diversas cuestiones psicosociales asociadas con poblaciones de pacientes de violencia sexual desatendidas, como: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Hombres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Reclusos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GLBTQIA </w:t>
            </w:r>
            <w:r w:rsidRPr="00BA38D5">
              <w:rPr>
                <w:lang w:val="es-MX"/>
              </w:rPr>
              <w:t>(gay, lesbiana, bisexual, transgénero, cuestionan su identidad sexual/</w:t>
            </w:r>
            <w:r w:rsidRPr="00BA38D5">
              <w:rPr>
                <w:i/>
                <w:lang w:val="es-MX"/>
              </w:rPr>
              <w:t>queer</w:t>
            </w:r>
            <w:r w:rsidRPr="00BA38D5">
              <w:rPr>
                <w:lang w:val="es-MX"/>
              </w:rPr>
              <w:t>, intersexual, agenérica/asexual)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Adolescentes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Pacientes con discapacidades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Poblaciones culturalmente diversas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Poblaciones de salud mental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Pacientes con barreras de idioma/comunicación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Personas que son objeto de trata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Factores relacionados con la capacidad de la paciente para dar su consentimiento a los servicios, como la edad, la capacidad cognitiva, el estado mental, el dominio limitado del inglés, la intoxicación y el nivel de conciencia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Resultados, intervenciones y criterios de evaluación de la paciente diseñados para abordar problemas psicosociales reales o potenciales basados en la edad cronológica de la paciente, el estado de desarrollo, las prioridades identificadas y la tolerancia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Técnicas y estrategias para interactuar con pacientes adultas y adolescentes y sus familias después de una revelación de violencia sexual, entre otras: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Escucha empática y reflexiva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Mantener la dignidad y la privacidad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Facilitar la participación y el control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Respetar la autonomía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Mantener la objetividad y el profesionalismo de las examinadoras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08116512"/>
                <w:placeholder>
                  <w:docPart w:val="2AD015EAB46C474FA0C4E75E5391385F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Minutos recomendados: 150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1477287114"/>
            <w:placeholder>
              <w:docPart w:val="72F0174F6CCA46D2B659B1721126355D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color w:val="000000" w:themeColor="text1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7388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1847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53323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132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3463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03669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95667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A38D5">
              <w:rPr>
                <w:rFonts w:asciiTheme="minorHAnsi" w:hAnsiTheme="minorHAnsi"/>
                <w:b/>
              </w:rPr>
              <w:t>Sección 3: Colaboración con agencias comunitarias</w:t>
            </w:r>
          </w:p>
          <w:p w:rsidR="00982ADD" w:rsidRPr="00BA38D5" w:rsidRDefault="00982ADD" w:rsidP="00283DD3">
            <w:pPr>
              <w:numPr>
                <w:ilvl w:val="1"/>
                <w:numId w:val="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Equipo de respuesta a la agresión sexual (SART), incluido: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Descripción general de las funciones y responsabilidades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Modelos SART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Estrategias para la aplicación y el mantenimiento del SART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Ventajas y desafíos</w:t>
            </w:r>
          </w:p>
          <w:p w:rsidR="00982ADD" w:rsidRPr="00BA38D5" w:rsidRDefault="00982ADD" w:rsidP="00283DD3">
            <w:pPr>
              <w:numPr>
                <w:ilvl w:val="1"/>
                <w:numId w:val="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Funciones y responsabilidades de los siguientes miembros multidisciplinarios del SART en relación con la violencia sexual en adultas y adolescentes: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Defensoras de las víctimas (radicadas en la comunidad y el sistema)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Examinadoras médicas forenses (EECAS adultas/adolescentes, investigadoras de muertes, forenses, examinadoras médicas, consultoras de enfermería forense)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Personal de las fuerzas del orden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Fiscales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Abogadas defensoras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Científicas forenses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Agencias de servicios sociales</w:t>
            </w:r>
          </w:p>
          <w:p w:rsidR="00982ADD" w:rsidRPr="00BA38D5" w:rsidRDefault="00982ADD" w:rsidP="00283DD3">
            <w:pPr>
              <w:numPr>
                <w:ilvl w:val="1"/>
                <w:numId w:val="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Estrategias clave para iniciar y mantener comunicación y colaboración eficaces entre las miembros multidisciplinarias de la SART, manteniendo al mismo tiempo la privacidad y la confidencialidad de la paciente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302783310"/>
                <w:placeholder>
                  <w:docPart w:val="DD62FF2B31604583B261321ECF4BEF05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Minutos recomendados: 240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incluir lo siguiente, como mínimo:</w:t>
            </w:r>
          </w:p>
          <w:p w:rsidR="00982ADD" w:rsidRPr="00BA38D5" w:rsidRDefault="00982ADD" w:rsidP="00982ADD">
            <w:pPr>
              <w:numPr>
                <w:ilvl w:val="0"/>
                <w:numId w:val="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Defensora de un centro de crisis de la comunidad</w:t>
            </w:r>
          </w:p>
          <w:p w:rsidR="00982ADD" w:rsidRPr="00BA38D5" w:rsidRDefault="00982ADD" w:rsidP="00982ADD">
            <w:pPr>
              <w:numPr>
                <w:ilvl w:val="0"/>
                <w:numId w:val="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Defensora ubicada en los sistemas</w:t>
            </w:r>
          </w:p>
          <w:p w:rsidR="00982ADD" w:rsidRPr="00BA38D5" w:rsidRDefault="00982ADD" w:rsidP="00982ADD">
            <w:pPr>
              <w:numPr>
                <w:ilvl w:val="0"/>
                <w:numId w:val="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Enfermera certificada por EECAS-A o EECAS-P</w:t>
            </w:r>
          </w:p>
          <w:p w:rsidR="00982ADD" w:rsidRPr="00BA38D5" w:rsidRDefault="00982ADD" w:rsidP="00982ADD">
            <w:pPr>
              <w:numPr>
                <w:ilvl w:val="0"/>
                <w:numId w:val="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A38D5">
              <w:rPr>
                <w:rFonts w:asciiTheme="minorHAnsi" w:hAnsiTheme="minorHAnsi"/>
                <w:color w:val="000000" w:themeColor="text1"/>
              </w:rPr>
              <w:t>Fuerzas de orden público</w:t>
            </w:r>
          </w:p>
          <w:p w:rsidR="00982ADD" w:rsidRPr="00BA38D5" w:rsidRDefault="00982ADD" w:rsidP="00982ADD">
            <w:pPr>
              <w:numPr>
                <w:ilvl w:val="0"/>
                <w:numId w:val="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Fiscal</w:t>
            </w:r>
          </w:p>
          <w:p w:rsidR="00982ADD" w:rsidRPr="00BA38D5" w:rsidRDefault="00982ADD" w:rsidP="00982ADD">
            <w:pPr>
              <w:numPr>
                <w:ilvl w:val="0"/>
                <w:numId w:val="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A38D5">
              <w:rPr>
                <w:rFonts w:asciiTheme="minorHAnsi" w:hAnsiTheme="minorHAnsi"/>
                <w:color w:val="000000" w:themeColor="text1"/>
              </w:rPr>
              <w:t>Analista del laboratorio penal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-244644228"/>
            <w:placeholder>
              <w:docPart w:val="A92A4879808644C2B6FC9366348ECC91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342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2852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8980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3271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924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317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7084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199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tabs>
                <w:tab w:val="left" w:pos="360"/>
              </w:tabs>
              <w:ind w:left="720" w:hanging="660"/>
              <w:jc w:val="center"/>
              <w:rPr>
                <w:rFonts w:asciiTheme="minorHAnsi" w:hAnsiTheme="minorHAnsi" w:cstheme="minorHAnsi"/>
                <w:b/>
                <w:szCs w:val="24"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t>Sección 4: Toma de la historia médica forense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Componentes clave para obtener una historia completa y adecuada al desarrollo de la paciente, incluido un examen centrado en los sistemas con una paciente adulta/adolescente, que puede proporcionar un contexto para la adopción de decisiones apropiadas en materia de atención de la salud y posibles repercusiones forenses, que incluya: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Historial médico anterior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Alergias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Medicación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Uso de drogas recreativas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lastRenderedPageBreak/>
              <w:t>Historia médica/quirúrgica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Estado de la vacunación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Historia anogenital-urinaria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Última relación sexual consensuada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Historia de embarazos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Uso de anticonceptivos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Último período menstrual...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Historia del suceso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Actos reales/intentos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Fecha y hora del suceso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Lugar del suceso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Información sobre el asaltante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Uso de armas/restricciones/amenazas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Uso de dispositivos de grabación (fotografías o videos del suceso)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Sospecha de agresión sexual facilitada por las drogas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Uso de preservativos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Eyaculación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Dolor o hemorragia asociados a los actos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Agresión física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Estrangulación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440" w:hanging="45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Posible destrucción de pruebas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 entre la obtención de un historial médico forense y la realización de una entrevista forense, y el propósito de cada una de ellos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Técnicas para establecer una relación de comunicación y facilitar la revelación de información teniendo en cuenta la edad, el nivel de desarrollo, la tolerancia, la identidad de género y las diferencias culturales de la paciente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Importancia de utilizar la historia médica forense para orientar la evaluación física de la paciente y la reunión de pruebas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Polivictimización o coocurrencia de violencia usando el historial médico forense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Importancia de la documentación exacta e imparcial del historial médico forense</w:t>
            </w:r>
          </w:p>
          <w:p w:rsidR="00982ADD" w:rsidRPr="00BA38D5" w:rsidRDefault="00982ADD" w:rsidP="00283DD3">
            <w:pPr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Coordinación entre los representantes de las fuerzas de orden público y los SAFE en lo que respecta a la logística y los límites de la toma de historias médicas forenses y la intención de investigar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036807"/>
                <w:placeholder>
                  <w:docPart w:val="CCCDA73909E84D4E948C43E7143801CA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Horas recomendadas: 120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1595200258"/>
            <w:placeholder>
              <w:docPart w:val="6DF6A67D4ADF4D5EAE2DB9AA1461F88D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6728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8672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4720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52539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7306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207218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2015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91065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t>Sección 5: Observación y evaluación de los resultados del examen físico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Importancia de obtener el consentimiento informado y el asentimiento durante todo el proceso de examen médico forense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Importancia de abordar las preocupaciones de las pacientes relacionadas con el género de la examinadora-examinador y otras preferencias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Evaluación física integral de pies a cabeza que sea apropiada para la edad, la identidad de género, el desarrollo y la cultura, considerando la tolerancia de la paciente, incluyendo la evaluación de:</w:t>
            </w:r>
          </w:p>
          <w:p w:rsidR="00982ADD" w:rsidRPr="00BA38D5" w:rsidRDefault="00982ADD" w:rsidP="00982ADD">
            <w:pPr>
              <w:numPr>
                <w:ilvl w:val="2"/>
                <w:numId w:val="1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La apariencia general, el comportamiento, la cognición y el estado mental de la paciente</w:t>
            </w:r>
          </w:p>
          <w:p w:rsidR="00982ADD" w:rsidRPr="00BA38D5" w:rsidRDefault="00982ADD" w:rsidP="00982ADD">
            <w:pPr>
              <w:numPr>
                <w:ilvl w:val="2"/>
                <w:numId w:val="1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Ropa y otras posesiones personales</w:t>
            </w:r>
          </w:p>
          <w:p w:rsidR="00982ADD" w:rsidRPr="00BA38D5" w:rsidRDefault="00982ADD" w:rsidP="00982ADD">
            <w:pPr>
              <w:numPr>
                <w:ilvl w:val="2"/>
                <w:numId w:val="1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Superficies del cuerpo para los hallazgos físicos</w:t>
            </w:r>
          </w:p>
          <w:p w:rsidR="00982ADD" w:rsidRPr="00BA38D5" w:rsidRDefault="00982ADD" w:rsidP="00982ADD">
            <w:pPr>
              <w:numPr>
                <w:ilvl w:val="2"/>
                <w:numId w:val="1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Estructuras anogenitales</w:t>
            </w:r>
          </w:p>
          <w:p w:rsidR="00982ADD" w:rsidRPr="00BA38D5" w:rsidRDefault="00982ADD" w:rsidP="00982ADD">
            <w:pPr>
              <w:numPr>
                <w:ilvl w:val="2"/>
                <w:numId w:val="1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Madurez sexual</w:t>
            </w:r>
          </w:p>
          <w:p w:rsidR="00982ADD" w:rsidRPr="00BA38D5" w:rsidRDefault="00982ADD" w:rsidP="00982ADD">
            <w:pPr>
              <w:numPr>
                <w:ilvl w:val="2"/>
                <w:numId w:val="1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Impacto del estrógeno en las estructuras anogenitales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Traumatismos mecánicos y físicos e identificación de cada tipo</w:t>
            </w:r>
          </w:p>
          <w:p w:rsidR="00982ADD" w:rsidRPr="00BA38D5" w:rsidRDefault="00982ADD" w:rsidP="00982ADD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Fuerza bruta</w:t>
            </w:r>
          </w:p>
          <w:p w:rsidR="00982ADD" w:rsidRPr="00BA38D5" w:rsidRDefault="00982ADD" w:rsidP="00982ADD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Fuerza con objeto afilado</w:t>
            </w:r>
          </w:p>
          <w:p w:rsidR="00982ADD" w:rsidRPr="00BA38D5" w:rsidRDefault="00982ADD" w:rsidP="00982ADD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Heridas de bala</w:t>
            </w:r>
          </w:p>
          <w:p w:rsidR="00982ADD" w:rsidRPr="00BA38D5" w:rsidRDefault="00982ADD" w:rsidP="00982ADD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 xml:space="preserve">Estrangulación 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Evaluación exhaustiva de la estrangulación en pacientes que han sufrido estrangulación o que se sospecha que la han sufrido, como parte de la historia y/o los hallazgos físicos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Terminología relacionada con los hallazgos de los traumas mecánicos y físicos, incluido: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Abrasión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Laceración/rotura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Corte/incisión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Moretón/contención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Hematoma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lastRenderedPageBreak/>
              <w:t>Hinchazón/edema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Enrojecimiento/eritema</w:t>
            </w:r>
          </w:p>
          <w:p w:rsidR="00982ADD" w:rsidRPr="00BA38D5" w:rsidRDefault="00982ADD" w:rsidP="00982ADD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Petechiae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Anatomía y fisiología anogenital, incluido:</w:t>
            </w:r>
          </w:p>
          <w:p w:rsidR="00982ADD" w:rsidRPr="00BA38D5" w:rsidRDefault="00982ADD" w:rsidP="00982ADD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Variantes anatómicas normales</w:t>
            </w:r>
          </w:p>
          <w:p w:rsidR="00982ADD" w:rsidRPr="00BA38D5" w:rsidRDefault="00982ADD" w:rsidP="00982ADD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Tipos y patrones de lesiones potencialmente asociados con la agresión sexual</w:t>
            </w:r>
          </w:p>
          <w:p w:rsidR="00982ADD" w:rsidRPr="00BA38D5" w:rsidRDefault="00982ADD" w:rsidP="00982ADD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Hallazgos físicos y condiciones médicas o traumas no relacionados con la agresión que puedan ser malinterpretados como resultado de una agresión sexual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Enfoque multimétodo para identificar y confirmar los hallazgos físicos, que puede incluir: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Posicionamiento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Separación/tracción labial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Irrigación con agua estéril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Visualización colposcópica o fotográfica con aumento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Visualización anoscópica, si está indicada y dentro del ámbito de la práctica en la Ley de Práctica de Enfermería de la jurisdicción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Aplicación y eliminación del colorante azul de toluidina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Catéter urinario (Foley), hisopo u otra técnica para la visualización del himen</w:t>
            </w:r>
          </w:p>
          <w:p w:rsidR="00982ADD" w:rsidRPr="00BA38D5" w:rsidRDefault="00982ADD" w:rsidP="00982ADD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Revisión colegial/Consulta pericial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Referencias actuales basadas en la evidencia y directrices de práctica de la atención médica para el cuidado de las pacientes adultas y adolescentes que han sufrido una agresión sexual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Circunstancias que pueden requerir la remisión y/o consulta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Planificación de la atención mediante la práctica actual basada en la evidencia para las poblaciones de pacientes adultas y adolescentes objeto de agresión sexual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Usar el juicio clínico para determinar el cuidado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Objetivos individualizados a corto y largo plazo basados en las necesidades fisiológicas, psicológicas, socioculturales, espirituales y económicas de las pacientes adultas y adolescentes que han sufrido una agresión sexual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Elementos de pensamiento crítico y práctica basada en la evidencia necesarios para correlacionar los posibles mecanismos de lesión de los hallazgos anogenitales y no anogenitales, incluido el reconocimiento de los hallazgos que pueden ser el resultado de condiciones médicas o procesos de enfermedad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Priorización de la atención basada en los datos de la evaluación y los objetivos centrados en la paciente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Cuándo emplear la consulta médica y la intervención de traumatismos</w:t>
            </w:r>
          </w:p>
          <w:p w:rsidR="00982ADD" w:rsidRPr="00BA38D5" w:rsidRDefault="00982ADD" w:rsidP="00283DD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</w:p>
          <w:p w:rsidR="00982ADD" w:rsidRPr="00BA38D5" w:rsidRDefault="00982ADD" w:rsidP="00283DD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666211677"/>
                <w:placeholder>
                  <w:docPart w:val="4319C5BD73284038A4AC473C87D088A0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Horas recomendadas: 120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1698126397"/>
            <w:placeholder>
              <w:docPart w:val="FA088A048F344E5DB6BF51222DF9C10A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4995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6772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84608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1656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6913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09142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3320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74615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t>Sección 6: Recolección de muestras médicas forenses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24"/>
              </w:numPr>
              <w:tabs>
                <w:tab w:val="left" w:pos="9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Atención centrada en la paciente (víctima)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Importancia de la participación, el consentimiento y el asentimiento continuo de la paciente durante los procedimientos de recogida de muestras como medio para recuperarse de la violencia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Equipo de recolección de pruebas de agresión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Integración de la obtención y conservación de muestras forenses en el examen médico forense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Opciones de recolección de muestras dentro de la comunidad disponibles para las pacientes adultas y adolescentes que han sufrido una agresión sexual, incluidos:</w:t>
            </w:r>
          </w:p>
          <w:p w:rsidR="00982ADD" w:rsidRPr="00BA38D5" w:rsidRDefault="00982ADD" w:rsidP="00982ADD">
            <w:pPr>
              <w:numPr>
                <w:ilvl w:val="3"/>
                <w:numId w:val="25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Reportes a las fuerzas del orden</w:t>
            </w:r>
          </w:p>
          <w:p w:rsidR="00982ADD" w:rsidRPr="00BA38D5" w:rsidRDefault="00982ADD" w:rsidP="00982ADD">
            <w:pPr>
              <w:numPr>
                <w:ilvl w:val="3"/>
                <w:numId w:val="25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No reportar/Recolección de pruebas anónimas</w:t>
            </w:r>
          </w:p>
          <w:p w:rsidR="00982ADD" w:rsidRPr="00BA38D5" w:rsidRDefault="00982ADD" w:rsidP="00982ADD">
            <w:pPr>
              <w:numPr>
                <w:ilvl w:val="3"/>
                <w:numId w:val="25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Evaluación y tratamiento médico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Recomendaciones sobre los plazos de recogida de muestras biológicas después de una agresión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Tipos de muestras y métodos de recolección en la paciente adulta y adolescente después de una agresión sexual, basados en el historial del suceso, incluidos pero sin limitarse a:</w:t>
            </w:r>
          </w:p>
          <w:p w:rsidR="00982ADD" w:rsidRPr="00BA38D5" w:rsidRDefault="00982ADD" w:rsidP="00982ADD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ADN</w:t>
            </w:r>
          </w:p>
          <w:p w:rsidR="00982ADD" w:rsidRPr="00BA38D5" w:rsidRDefault="00982ADD" w:rsidP="00982ADD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Rastros/no biológicos</w:t>
            </w:r>
          </w:p>
          <w:p w:rsidR="00982ADD" w:rsidRPr="00BA38D5" w:rsidRDefault="00982ADD" w:rsidP="00982ADD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Documentación histórica</w:t>
            </w:r>
          </w:p>
          <w:p w:rsidR="00982ADD" w:rsidRPr="00BA38D5" w:rsidRDefault="00982ADD" w:rsidP="00982ADD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Hallazgos físicos, identificación y documentación</w:t>
            </w:r>
          </w:p>
          <w:p w:rsidR="00982ADD" w:rsidRPr="00BA38D5" w:rsidRDefault="00982ADD" w:rsidP="00982ADD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Fotografía forense médica</w:t>
            </w:r>
          </w:p>
          <w:p w:rsidR="00982ADD" w:rsidRPr="00BA38D5" w:rsidRDefault="00982ADD" w:rsidP="00982ADD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Toxicología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Cadena de custodia y principios y procedimientos para el mantenimiento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lastRenderedPageBreak/>
              <w:t>Agresión sexual facilitada por drogas (ASFD), tendencias actuales, criterios asociados a la evaluación de riesgos de AFSD y cuándo son recomendables los procedimientos de recogida de muestras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Preocupaciones de las pacientes e ideas erróneas comunes que las pacientes pueden tener con respecto a la recogida de muestras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Riesgos y beneficios potenciales para la paciente relacionados con la recolección de pruebas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Instrumentos y métodos complementarios utilizados en la identificación y recolección de especímenes y los riesgos y beneficios conexos, entre otros:</w:t>
            </w:r>
          </w:p>
          <w:p w:rsidR="00982ADD" w:rsidRPr="00BA38D5" w:rsidRDefault="00982ADD" w:rsidP="00982ADD">
            <w:pPr>
              <w:numPr>
                <w:ilvl w:val="3"/>
                <w:numId w:val="27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Fuentes de luz alternativas</w:t>
            </w:r>
          </w:p>
          <w:p w:rsidR="00982ADD" w:rsidRPr="00BA38D5" w:rsidRDefault="00982ADD" w:rsidP="00982ADD">
            <w:pPr>
              <w:numPr>
                <w:ilvl w:val="3"/>
                <w:numId w:val="27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Técnicas de recolección con hisopos</w:t>
            </w:r>
          </w:p>
          <w:p w:rsidR="00982ADD" w:rsidRPr="00BA38D5" w:rsidRDefault="00982ADD" w:rsidP="00982ADD">
            <w:pPr>
              <w:numPr>
                <w:ilvl w:val="3"/>
                <w:numId w:val="27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Examen con espéculo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2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Visualización colposcópica o ampliación con cámara digital</w:t>
            </w:r>
          </w:p>
          <w:p w:rsidR="00982ADD" w:rsidRPr="00BA38D5" w:rsidRDefault="00982ADD" w:rsidP="00982ADD">
            <w:pPr>
              <w:numPr>
                <w:ilvl w:val="3"/>
                <w:numId w:val="27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Visualización anoscópica, si está indicada y dentro del ámbito de la práctica de la Ley de Práctica de Enfermería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Evaluación de los datos relativos a los detalles de la agresión para facilitar un examen médico forense completo y exhaustivo y la recogida de pruebas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Directrices de prácticas basadas en la evidencia para la identificación, recolección, preservación, manejo y transferencia de muestras biológicas y de evidencia de rastros después de una agresión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Práctica basada en la evidencia al planificar los procedimientos probatorios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Materiales y equipo necesarios para la recolección de pruebas biológicas y de rastros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Técnicas para apoyar a la paciente y minimizar el potencial de trauma adicional durante los procedimientos de recolección de muestras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Técnicas para facilitar la participación de las pacientes en los procedimientos de recogida de muestras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bookmarkStart w:id="2" w:name="_Hlk521584308"/>
            <w:r w:rsidRPr="00BA38D5">
              <w:rPr>
                <w:rFonts w:asciiTheme="minorHAnsi" w:hAnsiTheme="minorHAnsi"/>
                <w:lang w:val="es-MX"/>
              </w:rPr>
              <w:t>Evaluar la eficacia del plan de atención establecido y los procedimientos probatorios conexos y adaptar el plan en función de los cambios en los datos recogidos durante el proceso de enfermería</w:t>
            </w:r>
            <w:bookmarkEnd w:id="2"/>
          </w:p>
          <w:p w:rsidR="00982ADD" w:rsidRPr="00BA38D5" w:rsidRDefault="00982ADD" w:rsidP="00982ADD">
            <w:pPr>
              <w:numPr>
                <w:ilvl w:val="1"/>
                <w:numId w:val="24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Atención centrada en la paciente (el sospechoso)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Diferencias en el examen médico forense de la víctima y el sospechoso y en la recogida de muestras después de una agresión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Autorización legal necesaria para obtener muestras de pruebas y examinar a un sospechoso, entre otras cosas: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Consentimiento por escrito</w:t>
            </w:r>
          </w:p>
          <w:p w:rsidR="00982ADD" w:rsidRPr="00BA38D5" w:rsidRDefault="00982ADD" w:rsidP="00982ADD">
            <w:pPr>
              <w:numPr>
                <w:ilvl w:val="3"/>
                <w:numId w:val="24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Orden de registro</w:t>
            </w:r>
          </w:p>
          <w:p w:rsidR="00982ADD" w:rsidRPr="00BA38D5" w:rsidRDefault="00982ADD" w:rsidP="00982ADD">
            <w:pPr>
              <w:numPr>
                <w:ilvl w:val="3"/>
                <w:numId w:val="24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Orden judicial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Componentes del examen médico forense al sospechoso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Recomendaciones sobre los plazos de recogida de pruebas biológicas en el sospechoso de una agresión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Tipos de pruebas que pueden recogerse en el examen médico forense de un sospechoso después de una agresión sexual, como: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Evidencia de ADN</w:t>
            </w:r>
          </w:p>
          <w:p w:rsidR="00982ADD" w:rsidRPr="00BA38D5" w:rsidRDefault="00982ADD" w:rsidP="00982ADD">
            <w:pPr>
              <w:numPr>
                <w:ilvl w:val="3"/>
                <w:numId w:val="24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Rastros/evidencias no biológicas</w:t>
            </w:r>
          </w:p>
          <w:p w:rsidR="00982ADD" w:rsidRPr="00BA38D5" w:rsidRDefault="00982ADD" w:rsidP="00982ADD">
            <w:pPr>
              <w:numPr>
                <w:ilvl w:val="3"/>
                <w:numId w:val="24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Hallazgos físicos, identificación y documentación</w:t>
            </w:r>
          </w:p>
          <w:p w:rsidR="00982ADD" w:rsidRPr="00BA38D5" w:rsidRDefault="00982ADD" w:rsidP="00982ADD">
            <w:pPr>
              <w:numPr>
                <w:ilvl w:val="3"/>
                <w:numId w:val="24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Fotografía forense médica</w:t>
            </w:r>
          </w:p>
          <w:p w:rsidR="00982ADD" w:rsidRPr="00BA38D5" w:rsidRDefault="00982ADD" w:rsidP="00982ADD">
            <w:pPr>
              <w:numPr>
                <w:ilvl w:val="3"/>
                <w:numId w:val="24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Toxicología</w:t>
            </w:r>
          </w:p>
          <w:p w:rsidR="00982ADD" w:rsidRPr="00BA38D5" w:rsidRDefault="00982ADD" w:rsidP="00982ADD">
            <w:pPr>
              <w:numPr>
                <w:ilvl w:val="3"/>
                <w:numId w:val="24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Variables en la recolección de especímenes, empaquetado, preservación y transporte de los artículos, incluidos:</w:t>
            </w:r>
          </w:p>
          <w:p w:rsidR="00982ADD" w:rsidRPr="00BA38D5" w:rsidRDefault="00982ADD" w:rsidP="00982ADD">
            <w:pPr>
              <w:numPr>
                <w:ilvl w:val="1"/>
                <w:numId w:val="28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lastRenderedPageBreak/>
              <w:t>Productos de la concepción</w:t>
            </w:r>
          </w:p>
          <w:p w:rsidR="00982ADD" w:rsidRPr="00BA38D5" w:rsidRDefault="00982ADD" w:rsidP="00982ADD">
            <w:pPr>
              <w:numPr>
                <w:ilvl w:val="1"/>
                <w:numId w:val="28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Cuerpos extraños</w:t>
            </w:r>
          </w:p>
          <w:p w:rsidR="00982ADD" w:rsidRPr="00BA38D5" w:rsidRDefault="00982ADD" w:rsidP="00982ADD">
            <w:pPr>
              <w:numPr>
                <w:ilvl w:val="1"/>
                <w:numId w:val="28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Tampones</w:t>
            </w:r>
          </w:p>
          <w:p w:rsidR="00982ADD" w:rsidRPr="00BA38D5" w:rsidRDefault="00982ADD" w:rsidP="00982ADD">
            <w:pPr>
              <w:numPr>
                <w:ilvl w:val="1"/>
                <w:numId w:val="28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Pañales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Sintetizar los datos de una agresión sexual denunciada para informar un examen médico forense completo y exhaustivo y la recopilación de pruebas en el sospechoso de una agresión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Prevención de la contaminación cruzada si los exámenes médicos forenses y/o la recogida de pruebas de la víctima y el sospechoso se realizan en el mismo centro o por la misma examinadora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Evaluación de la eficacia del plan de cuidados establecido y adaptación de los cuidados en función de los cambios en los datos recogidos durante el proceso de enfermería </w:t>
            </w: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14493147"/>
                <w:placeholder>
                  <w:docPart w:val="4CA63666A668424D9EBBD7B14CAFCFDB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Minutos recomendados: 165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860089519"/>
            <w:placeholder>
              <w:docPart w:val="854E5BC76FA94A3699A1FA0D908763C9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D3DDB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62558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48168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7564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4418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75760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5219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4143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5480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A38D5">
              <w:rPr>
                <w:rFonts w:asciiTheme="minorHAnsi" w:hAnsiTheme="minorHAnsi"/>
                <w:b/>
                <w:u w:val="single"/>
              </w:rPr>
              <w:t>Sección 7: Fotografía Médica Forense</w:t>
            </w:r>
          </w:p>
          <w:p w:rsidR="00982ADD" w:rsidRPr="00BA38D5" w:rsidRDefault="00982ADD" w:rsidP="00982ADD">
            <w:pPr>
              <w:numPr>
                <w:ilvl w:val="1"/>
                <w:numId w:val="29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Importancia de obtener el consentimiento informado y el asentimiento para la fotografía</w:t>
            </w:r>
          </w:p>
          <w:p w:rsidR="00982ADD" w:rsidRPr="00BA38D5" w:rsidRDefault="00982ADD" w:rsidP="00982ADD">
            <w:pPr>
              <w:pStyle w:val="ListParagraph1"/>
              <w:numPr>
                <w:ilvl w:val="0"/>
                <w:numId w:val="29"/>
              </w:numPr>
              <w:spacing w:line="259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Impacto del abuso de la fotografía/imágenes en la experiencia de la paciente con la fotodocumentación</w:t>
            </w:r>
          </w:p>
          <w:p w:rsidR="00982ADD" w:rsidRPr="00BA38D5" w:rsidRDefault="00982ADD" w:rsidP="00982ADD">
            <w:pPr>
              <w:pStyle w:val="ListParagraph1"/>
              <w:numPr>
                <w:ilvl w:val="0"/>
                <w:numId w:val="29"/>
              </w:numPr>
              <w:spacing w:line="259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Posibles cuestiones jurídicas relacionadas con la fotografía (por ejemplo, uso de filtros, alteraciones de las imágenes, uso de equipo fotográfico no autorizado, como teléfonos celulares personales o la cámara de las fuerzas del orden)</w:t>
            </w:r>
          </w:p>
          <w:p w:rsidR="00982ADD" w:rsidRPr="00BA38D5" w:rsidRDefault="00982ADD" w:rsidP="00982ADD">
            <w:pPr>
              <w:pStyle w:val="ListParagraph1"/>
              <w:numPr>
                <w:ilvl w:val="0"/>
                <w:numId w:val="29"/>
              </w:numPr>
              <w:spacing w:line="259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Hallazgos físicos que justifican la documentación fotográfica forense médica</w:t>
            </w:r>
          </w:p>
          <w:p w:rsidR="00982ADD" w:rsidRPr="00BA38D5" w:rsidRDefault="00982ADD" w:rsidP="00982ADD">
            <w:pPr>
              <w:pStyle w:val="ListParagraph1"/>
              <w:numPr>
                <w:ilvl w:val="0"/>
                <w:numId w:val="29"/>
              </w:numPr>
              <w:spacing w:line="259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Hallazgos biológicos y/o de evidencia de rastros que justifican la documentación fotográfica</w:t>
            </w:r>
          </w:p>
          <w:p w:rsidR="00982ADD" w:rsidRPr="00BA38D5" w:rsidRDefault="00982ADD" w:rsidP="00982ADD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lastRenderedPageBreak/>
              <w:t>Necesidades fisiológicas, psicológicas, socioculturales y espirituales de las pacientes adultas/adolescentes que justifican la fotografía forense médica después de una agresión sexual</w:t>
            </w:r>
          </w:p>
          <w:p w:rsidR="00982ADD" w:rsidRPr="00BA38D5" w:rsidRDefault="00982ADD" w:rsidP="00982ADD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Opciones para obtener fotografías médicas forenses, incluidas imágenes de colposcopio y equipo de imágenes digitales</w:t>
            </w:r>
          </w:p>
          <w:p w:rsidR="00982ADD" w:rsidRPr="00BA38D5" w:rsidRDefault="00982ADD" w:rsidP="00982ADD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Variables que afectan a la claridad y calidad de las imágenes fotográficas, incluyendo el color de la piel, el tipo y ubicación del hallazgo, la iluminación, la apertura y la velocidad de la película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Principios clave de la fotografía, incluido el consentimiento, la obtención de imágenes que sean relevantes, la representación verdadera y precisa del tema </w:t>
            </w:r>
            <w:r w:rsidRPr="00BA38D5">
              <w:rPr>
                <w:lang w:val="es-MX"/>
              </w:rPr>
              <w:t>que no exalte los ánimos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Principios de fotografía relacionados con los tipos de imágenes que requieren los procedimientos judiciales, incluida la orientación general, el primer plano y el primer plano con fotografías a escala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Priorización de la fotografía basada en datos de evaluación y objetivos centrados en la paciente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Adaptar la fotografía para acomodar las necesidades y preferencias de las pacientes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Selección de los medios correctos para la obtención de fotografías en función del tipo de hallazgo físico o probatorio que justifica la documentación fotográfica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Situaciones que pueden justificar fotografías de seguimiento y opciones para asegurarlas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Consentimiento, almacenamiento, confidencialidad y divulgación apropiados de las fotografías tomadas durante el examen médico forense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Cuestiones legales y de confidencialidad que son pertinentes a la documentación fotográfica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Revisión colegial coherente de las fotografías para asegurar la calidad y la interpretación precisa de los hallazgos fotográficos</w:t>
            </w:r>
          </w:p>
          <w:p w:rsidR="00982ADD" w:rsidRPr="00BA38D5" w:rsidRDefault="00982ADD" w:rsidP="00283DD3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s-MX"/>
              </w:rPr>
            </w:pPr>
          </w:p>
          <w:p w:rsidR="00982ADD" w:rsidRPr="00BA38D5" w:rsidRDefault="00982ADD" w:rsidP="00283DD3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s-MX"/>
              </w:rPr>
            </w:pPr>
          </w:p>
          <w:p w:rsidR="00982ADD" w:rsidRPr="00BA38D5" w:rsidRDefault="00982ADD" w:rsidP="00283DD3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799062051"/>
                <w:placeholder>
                  <w:docPart w:val="D0EAC3B4B15E48A2B8B8B9B6D0C61ADA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Minutos recomendados: 120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1227801177"/>
            <w:placeholder>
              <w:docPart w:val="2C9241504E0C495B8B207F4D9411E75A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0720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58518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3156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74826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9313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6048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1949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6778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lastRenderedPageBreak/>
              <w:t>Sección 8: Pruebas y profilaxis de infecciones de transmisión sexual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Describir la prevalencia/incidencia y la morbilidad y los factores de riesgo relacionados con las infecciones de transmisión sexual después de la agresión y el abuso sexuales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Reconocer los síntomas asociados con las enfermedades de transmisión sexual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Reconocer que las ITS son comúnmente asintomáticas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Diferenciar los síntomas y los hallazgos que pueden ser similares a las infecciones de transmisión sexual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Describir los conceptos clave asociados con la detección del riesgo de transmisión de determinadas infecciones de transmisión sexual basándose en los datos específicos de la historia proporcionada por la paciente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Identificar las preocupaciones y mitos de las pacientes con respecto a la transmisión, tratamiento y profilaxis de determinadas infecciones de transmisión sexual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Reunir y analizar datos relativos a las necesidades fisiológicas, psicológicas, socioculturales, espirituales y económicas de las pacientes adultas/adolescentes después de una agresión sexual, que corren el riesgo de contraer una o más infecciones de transmisión sexual reales o potenciales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Identificar las directrices nacionales y/o internacionales actuales basadas en pruebas para la prueba y la profilaxis/tratamiento de las infecciones de transmisión sexual, cuando se planifique la atención a las pacientes adultas/adolescentes después de una agresión sexual, que corran el riesgo de contraer una o más infecciones de transmisión sexual reales o potenciales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Aplicar, analizar y sintetizar la práctica actual basada en la evidencia al planificar la atención a las pacientes adultas/adolescentes después de una agresión sexual que corren el riesgo de contraer una o más infecciones de transmisión sexual reales o potenciales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Comparar los riesgos y beneficios de las pruebas para detectar infecciones de transmisión sexual durante la evaluación aguda con los del seguimiento inicial después de la profilaxis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Modificar apropiadamente las metodologías de prueba basadas en el lugar de la recolección, el estado puberal y la tolerancia de la paciente a determinadas infecciones de transmisión sexual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Distinguir entre las metodologías de pruebas de detección y de confirmación para determinadas infecciones de transmisión sexual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Describir la estrategia apropiada para la evaluación del riesgo de VIH y la toma de decisiones sobre la profilaxis, basada en las directrices actuales, la epidemiología local y los recursos disponibles  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Establecer, comunicar, evaluar y revisar objetivos individualizados a corto y largo plazo basados en las necesidades fisiológicas, psicológicas, socioculturales, espirituales y económicas de las pacientes adultas/adolescentes después de una agresión sexual que corren el riesgo de contraer una o varias infecciones de transmisión sexual reales o potenciales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Priorizar la atención según los datos de la evaluación y los objetivos centrados en la paciente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Examinar las pruebas y la profilaxis apropiadas de las infecciones de transmisión sexual basadas en la práctica actual basada en la evidencia, los factores de riesgo de transmisión y la sintomatología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lastRenderedPageBreak/>
              <w:t>Adaptar las pruebas y la profilaxis de las infecciones de transmisión sexual en función de la tolerancia, la adherencia y las contraindicaciones de la paciente.</w:t>
            </w:r>
          </w:p>
          <w:p w:rsidR="00982ADD" w:rsidRPr="00BA38D5" w:rsidRDefault="00982ADD" w:rsidP="00982ADD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Describir las circunstancias que indican la necesidad de consulta de la especialidad cuando sea apropiado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Resumir la recolección, preservación y transporte de medios de prueba para las infecciones de transmisión sexual seleccionadas</w:t>
            </w: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15110353"/>
                <w:placeholder>
                  <w:docPart w:val="EF7E0CE192824CC7BFEAD7C4C6618D78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843312080"/>
            <w:placeholder>
              <w:docPart w:val="11BE713FD46444618AA932282C594B85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0053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34667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4654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235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5899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5695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3704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68921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t>Sección 9: Evaluación y atención del riesgo de embarazo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360" w:firstLine="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Tasas de prevalencia del embarazo después de una agresión sexual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Evaluación del riesgo de embarazo después de una agresión sexual basada en los datos específicos de los antecedentes proporcionados por la paciente y su edad de desarrollo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Métodos de prueba (por ejemplo, sangre u orina; cuantitativos o cualitativos)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Eficacia de los métodos disponibles de prevención del embarazo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Conceptos clave de la educación de la paciente relacionados con la anticoncepción de emergencia, incluidos:</w:t>
            </w:r>
          </w:p>
          <w:p w:rsidR="00982ADD" w:rsidRPr="00BA38D5" w:rsidRDefault="00982ADD" w:rsidP="00982ADD">
            <w:pPr>
              <w:numPr>
                <w:ilvl w:val="2"/>
                <w:numId w:val="31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Mecanismo de acción</w:t>
            </w:r>
          </w:p>
          <w:p w:rsidR="00982ADD" w:rsidRPr="00BA38D5" w:rsidRDefault="00982ADD" w:rsidP="00982ADD">
            <w:pPr>
              <w:numPr>
                <w:ilvl w:val="2"/>
                <w:numId w:val="31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Pruebas de base</w:t>
            </w:r>
          </w:p>
          <w:p w:rsidR="00982ADD" w:rsidRPr="00BA38D5" w:rsidRDefault="00982ADD" w:rsidP="00982ADD">
            <w:pPr>
              <w:numPr>
                <w:ilvl w:val="2"/>
                <w:numId w:val="31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Efectos secundarios</w:t>
            </w:r>
          </w:p>
          <w:p w:rsidR="00982ADD" w:rsidRPr="00BA38D5" w:rsidRDefault="00982ADD" w:rsidP="00982ADD">
            <w:pPr>
              <w:numPr>
                <w:ilvl w:val="2"/>
                <w:numId w:val="31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Administración</w:t>
            </w:r>
          </w:p>
          <w:p w:rsidR="00982ADD" w:rsidRPr="00BA38D5" w:rsidRDefault="00982ADD" w:rsidP="00982ADD">
            <w:pPr>
              <w:numPr>
                <w:ilvl w:val="2"/>
                <w:numId w:val="31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Tasa de fracaso</w:t>
            </w:r>
          </w:p>
          <w:p w:rsidR="00982ADD" w:rsidRPr="00BA38D5" w:rsidRDefault="00982ADD" w:rsidP="00982ADD">
            <w:pPr>
              <w:numPr>
                <w:ilvl w:val="2"/>
                <w:numId w:val="31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Requisitos de seguimiento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Preocupaciones de las pacientes, sistemas de creencias y conceptos erróneos relacionados con la reproducción, el embarazo y la profilaxis del embarazo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lastRenderedPageBreak/>
              <w:t>Necesidades fisiológicas, psicológicas, socioculturales, espirituales y económicas de las pacientes adultas y adolescentes que corren el riesgo de un embarazo no deseado después de una agresión sexual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Directrices basadas en pruebas para la profilaxis del embarazo al planificar la atención a pacientes adultas y adolescentes en riesgo de embarazo no deseado después de una agresión sexual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bookmarkStart w:id="3" w:name="_Hlk521588658"/>
            <w:r w:rsidRPr="00BA38D5">
              <w:rPr>
                <w:rFonts w:asciiTheme="minorHAnsi" w:hAnsiTheme="minorHAnsi"/>
                <w:lang w:val="es-MX"/>
              </w:rPr>
              <w:t>Priorizar la atención basada en los datos de la evaluación y los objetivos centrados en la paciente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Situaciones que justifican una consulta médica o de especialidad</w:t>
            </w:r>
          </w:p>
          <w:p w:rsidR="00982ADD" w:rsidRPr="00BA38D5" w:rsidRDefault="00982ADD" w:rsidP="00982ADD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Evaluación de la eficacia del plan de cuidados establecido y adaptación de los cuidados en función de los cambios en los datos recogidos durante el proceso de enfermería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Demostrar la capacidad de identificar y explicar los cuidados de seguimiento necesarios, las instrucciones de alta y las fuentes de derivación asociadas a la anticoncepción de emergencia y/o las opciones de interrupción del embarazo</w:t>
            </w:r>
            <w:bookmarkEnd w:id="3"/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86663625"/>
                <w:placeholder>
                  <w:docPart w:val="83630FACA6634EC59D4143757F1F1FD9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1226674125"/>
            <w:placeholder>
              <w:docPart w:val="B0F5DE209ED74D63AA67C0488C3D6B7F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6317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7808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8170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22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0312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38814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7994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2559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A38D5">
              <w:rPr>
                <w:rFonts w:asciiTheme="minorHAnsi" w:hAnsiTheme="minorHAnsi"/>
                <w:b/>
                <w:u w:val="single"/>
              </w:rPr>
              <w:t>Sección 10: Documentación Médica Forense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  <w:lang w:val="es-MX"/>
              </w:rPr>
            </w:pPr>
            <w:bookmarkStart w:id="4" w:name="_Hlk513711355"/>
            <w:r w:rsidRPr="00BA38D5">
              <w:rPr>
                <w:rFonts w:asciiTheme="minorHAnsi" w:hAnsiTheme="minorHAnsi"/>
                <w:lang w:val="es-MX"/>
              </w:rPr>
              <w:t>Funciones y responsabilidades de la enfermera forense en la documentación del examen médico forense de adultas y adolescentes</w:t>
            </w:r>
          </w:p>
          <w:p w:rsidR="00982ADD" w:rsidRPr="00BA38D5" w:rsidRDefault="00982ADD" w:rsidP="00982ADD">
            <w:pPr>
              <w:numPr>
                <w:ilvl w:val="2"/>
                <w:numId w:val="3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Pasos del proceso de enfermería, incluidos el cuidado centrado en la paciente, necesidades y objetivos</w:t>
            </w:r>
          </w:p>
          <w:p w:rsidR="00982ADD" w:rsidRPr="00BA38D5" w:rsidRDefault="00982ADD" w:rsidP="00982ADD">
            <w:pPr>
              <w:numPr>
                <w:ilvl w:val="2"/>
                <w:numId w:val="3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Diferenciación y documentación de las fuentes de información suministrada</w:t>
            </w:r>
          </w:p>
          <w:p w:rsidR="00982ADD" w:rsidRPr="00BA38D5" w:rsidRDefault="00982ADD" w:rsidP="00982ADD">
            <w:pPr>
              <w:numPr>
                <w:ilvl w:val="2"/>
                <w:numId w:val="3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Documentación de las fuentes/sitios de reunión de pruebas</w:t>
            </w:r>
          </w:p>
          <w:p w:rsidR="00982ADD" w:rsidRPr="00BA38D5" w:rsidRDefault="00982ADD" w:rsidP="00982ADD">
            <w:pPr>
              <w:numPr>
                <w:ilvl w:val="2"/>
                <w:numId w:val="3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Documentación de la historia del suceso citando las declaraciones de la paciente tanto como sea posible</w:t>
            </w:r>
          </w:p>
          <w:p w:rsidR="00982ADD" w:rsidRPr="00BA38D5" w:rsidRDefault="00982ADD" w:rsidP="00982ADD">
            <w:pPr>
              <w:numPr>
                <w:ilvl w:val="2"/>
                <w:numId w:val="3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lastRenderedPageBreak/>
              <w:t>Documentación de la declaración de protesta hecha durante el examen médico forense</w:t>
            </w:r>
          </w:p>
          <w:p w:rsidR="00982ADD" w:rsidRPr="00BA38D5" w:rsidRDefault="00982ADD" w:rsidP="00982ADD">
            <w:pPr>
              <w:numPr>
                <w:ilvl w:val="2"/>
                <w:numId w:val="3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Diferenciación entre datos objetivos y subjetivos; uso del lenguaje para la documentación que esté libre de juicios o sesgos</w:t>
            </w:r>
          </w:p>
          <w:p w:rsidR="00982ADD" w:rsidRPr="00BA38D5" w:rsidRDefault="00982ADD" w:rsidP="00982ADD">
            <w:pPr>
              <w:numPr>
                <w:ilvl w:val="2"/>
                <w:numId w:val="32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Procesos relacionados con la documentación médico forense que incluyen el mejoramiento de la calidad, el examen colegial y la práctica basada en la investigación y las pruebas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Consideraciones legales, incluidas:</w:t>
            </w:r>
          </w:p>
          <w:p w:rsidR="00982ADD" w:rsidRPr="00BA38D5" w:rsidRDefault="00982ADD" w:rsidP="00982ADD">
            <w:pPr>
              <w:numPr>
                <w:ilvl w:val="3"/>
                <w:numId w:val="3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Requisitos reglamentarios u otros requisitos de acreditación (véase la sección de consideraciones jurídicas)</w:t>
            </w:r>
          </w:p>
          <w:p w:rsidR="00982ADD" w:rsidRPr="00BA38D5" w:rsidRDefault="00982ADD" w:rsidP="00982ADD">
            <w:pPr>
              <w:numPr>
                <w:ilvl w:val="3"/>
                <w:numId w:val="3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Requisitos legales, reglamentarios u otros requisitos de confidencialidad (véase la sección de consideraciones jurídicas)</w:t>
            </w:r>
          </w:p>
          <w:p w:rsidR="00982ADD" w:rsidRPr="00BA38D5" w:rsidRDefault="00982ADD" w:rsidP="00982ADD">
            <w:pPr>
              <w:numPr>
                <w:ilvl w:val="3"/>
                <w:numId w:val="3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Requisitos obligatorios de presentación de informes (véase la sección de consideraciones jurídicas)</w:t>
            </w:r>
          </w:p>
          <w:p w:rsidR="00982ADD" w:rsidRPr="00BA38D5" w:rsidRDefault="00982ADD" w:rsidP="00982ADD">
            <w:pPr>
              <w:numPr>
                <w:ilvl w:val="3"/>
                <w:numId w:val="3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Consentimiento informado y asentimiento (véase la sección de consideraciones jurídicas)</w:t>
            </w:r>
          </w:p>
          <w:p w:rsidR="00982ADD" w:rsidRPr="00BA38D5" w:rsidRDefault="00982ADD" w:rsidP="00982ADD">
            <w:pPr>
              <w:numPr>
                <w:ilvl w:val="3"/>
                <w:numId w:val="3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Continuidad de la atención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Consideraciones judiciales, incluidas: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3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Representación verdadera y precisa</w:t>
            </w:r>
          </w:p>
          <w:p w:rsidR="00982ADD" w:rsidRPr="00BA38D5" w:rsidRDefault="00982ADD" w:rsidP="00982ADD">
            <w:pPr>
              <w:numPr>
                <w:ilvl w:val="3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Evaluación objetiva e imparcial</w:t>
            </w:r>
          </w:p>
          <w:p w:rsidR="00982ADD" w:rsidRPr="00BA38D5" w:rsidRDefault="00982ADD" w:rsidP="00982ADD">
            <w:pPr>
              <w:numPr>
                <w:ilvl w:val="3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Cadena de custodia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Principios clave relacionados con el consentimiento, el acceso, el almacenamiento, el archivo y la retención de la documentación para: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3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Registros médicos escritos/electrónicos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3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Mapas corporales/diagramas anatómicos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3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Formularios</w:t>
            </w:r>
          </w:p>
          <w:p w:rsidR="00982ADD" w:rsidRPr="00BA38D5" w:rsidRDefault="00982ADD" w:rsidP="00982ADD">
            <w:pPr>
              <w:pStyle w:val="ListParagraph"/>
              <w:numPr>
                <w:ilvl w:val="3"/>
                <w:numId w:val="3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Fotografías (ver sección de fotografía médica forense)</w:t>
            </w:r>
          </w:p>
          <w:p w:rsidR="00982ADD" w:rsidRPr="00BA38D5" w:rsidRDefault="00982ADD" w:rsidP="00982ADD">
            <w:pPr>
              <w:pStyle w:val="ListParagraph"/>
              <w:keepNext/>
              <w:keepLines/>
              <w:numPr>
                <w:ilvl w:val="2"/>
                <w:numId w:val="32"/>
              </w:numPr>
              <w:tabs>
                <w:tab w:val="left" w:pos="720"/>
              </w:tabs>
              <w:spacing w:after="160" w:line="259" w:lineRule="auto"/>
              <w:ind w:left="720" w:hanging="360"/>
              <w:outlineLvl w:val="4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Políticas de almacenamiento y conservación de los registros médicas forenses(incluida la importancia de respetar las normas de justicia penal para el mantenimiento de los registros, como las normas sobre prescripción)</w:t>
            </w:r>
          </w:p>
          <w:p w:rsidR="00982ADD" w:rsidRPr="00BA38D5" w:rsidRDefault="00982ADD" w:rsidP="00982ADD">
            <w:pPr>
              <w:pStyle w:val="ListParagraph"/>
              <w:keepNext/>
              <w:keepLines/>
              <w:numPr>
                <w:ilvl w:val="2"/>
                <w:numId w:val="32"/>
              </w:numPr>
              <w:tabs>
                <w:tab w:val="left" w:pos="720"/>
              </w:tabs>
              <w:spacing w:after="160" w:line="259" w:lineRule="auto"/>
              <w:ind w:left="780" w:hanging="420"/>
              <w:outlineLvl w:val="4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Compartir la documentación médico forense con otros proveedores de tratamiento</w:t>
            </w:r>
          </w:p>
          <w:p w:rsidR="00982ADD" w:rsidRPr="00BA38D5" w:rsidRDefault="00982ADD" w:rsidP="00982ADD">
            <w:pPr>
              <w:pStyle w:val="ListParagraph"/>
              <w:keepNext/>
              <w:keepLines/>
              <w:numPr>
                <w:ilvl w:val="2"/>
                <w:numId w:val="32"/>
              </w:numPr>
              <w:tabs>
                <w:tab w:val="left" w:pos="720"/>
              </w:tabs>
              <w:spacing w:after="160" w:line="259" w:lineRule="auto"/>
              <w:ind w:hanging="1800"/>
              <w:outlineLvl w:val="4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El acceso de la paciente al registro médico forense</w:t>
            </w:r>
          </w:p>
          <w:p w:rsidR="00982ADD" w:rsidRPr="00BA38D5" w:rsidRDefault="00982ADD" w:rsidP="00982ADD">
            <w:pPr>
              <w:pStyle w:val="ListParagraph"/>
              <w:keepNext/>
              <w:keepLines/>
              <w:numPr>
                <w:ilvl w:val="2"/>
                <w:numId w:val="32"/>
              </w:numPr>
              <w:tabs>
                <w:tab w:val="left" w:pos="720"/>
              </w:tabs>
              <w:spacing w:after="160" w:line="259" w:lineRule="auto"/>
              <w:ind w:left="720" w:hanging="360"/>
              <w:outlineLvl w:val="4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Liberación, distribución y duplicación de registros médicos forenses, incluyendo imágenes fotográficas y de video y material probatorio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>Cualquier posible problema interjurisdiccional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Procedimientos para salvaguardar la privacidad de la paciente y la transferencia de pruebas/información a organismos externos de acuerdo con el protocolo institucional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Explicación de las leyes y la política institucional que rigen sobre la protección de los registros y la información de las pacientes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Normas aplicables a las instalaciones/examinadoras del programa (por ejemplo, acceso restringido a los registros médicos relacionados con el examen médico forense, respuesta a las citaciones y procedimientos para la divulgación de imágenes)</w:t>
            </w:r>
            <w:bookmarkEnd w:id="4"/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110638863"/>
                <w:placeholder>
                  <w:docPart w:val="569545AE9650435D81EB4B3C593FE5C3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315502740"/>
            <w:placeholder>
              <w:docPart w:val="6E5D6768B04F495B8190E3A17FDEDF06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D3DDB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1827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9332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4464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8156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93412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9964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2520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06178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t>Sección 11: Planificación del alta y seguimiento</w:t>
            </w:r>
          </w:p>
          <w:p w:rsidR="00982ADD" w:rsidRPr="00BA38D5" w:rsidRDefault="00982ADD" w:rsidP="00982ADD">
            <w:pPr>
              <w:numPr>
                <w:ilvl w:val="0"/>
                <w:numId w:val="36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Identificar los recursos apropiados para atender las necesidades específicas de seguridad, médicas y forenses de las pacientes adultas y adolescentes después de una agresión sexual</w:t>
            </w:r>
          </w:p>
          <w:p w:rsidR="00982ADD" w:rsidRPr="00BA38D5" w:rsidRDefault="00982ADD" w:rsidP="00982ADD">
            <w:pPr>
              <w:numPr>
                <w:ilvl w:val="0"/>
                <w:numId w:val="36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Reconocer la necesidad de estructurar la planificación individualizada del alta y la atención de seguimiento según las prioridades médicas, forenses y de la paciente</w:t>
            </w:r>
          </w:p>
          <w:p w:rsidR="00982ADD" w:rsidRPr="00BA38D5" w:rsidRDefault="00982ADD" w:rsidP="00982ADD">
            <w:pPr>
              <w:numPr>
                <w:ilvl w:val="0"/>
                <w:numId w:val="36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Facilitar el acceso a los organismos de colaboración multidisciplinarios apropiados</w:t>
            </w:r>
          </w:p>
          <w:p w:rsidR="00982ADD" w:rsidRPr="00BA38D5" w:rsidRDefault="00982ADD" w:rsidP="00982ADD">
            <w:pPr>
              <w:numPr>
                <w:ilvl w:val="0"/>
                <w:numId w:val="36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Identificar las directrices basadas en pruebas para el alta y la atención de seguimiento en adultas y adolescentes después de una agresión sexual</w:t>
            </w:r>
          </w:p>
          <w:p w:rsidR="00982ADD" w:rsidRPr="00BA38D5" w:rsidRDefault="00982ADD" w:rsidP="00982ADD">
            <w:pPr>
              <w:numPr>
                <w:ilvl w:val="0"/>
                <w:numId w:val="36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Aplicar, analizar y sintetizar la práctica actual basada en la evidencia al planificar y priorizar el alta y los cuidados de seguimiento asociados con cuestiones de seguridad, psicológicas, forenses o médicas, incluyendo la prevención y/o el tratamiento de las infecciones de transmisión sexual y el embarazo</w:t>
            </w:r>
          </w:p>
          <w:p w:rsidR="00982ADD" w:rsidRPr="00BA38D5" w:rsidRDefault="00982ADD" w:rsidP="00982ADD">
            <w:pPr>
              <w:numPr>
                <w:ilvl w:val="2"/>
                <w:numId w:val="35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Modificar y facilitar los planes de tratamiento, remisión y seguimiento en función de las necesidades y preocupaciones de las pacientes</w:t>
            </w:r>
          </w:p>
          <w:p w:rsidR="00982ADD" w:rsidRPr="00BA38D5" w:rsidRDefault="00982ADD" w:rsidP="00982ADD">
            <w:pPr>
              <w:numPr>
                <w:ilvl w:val="2"/>
                <w:numId w:val="35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Generar, comunicar, evaluar y revisar los objetivos individualizados a corto y largo plazo relacionados con las necesidades de alta y seguimiento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Determinar y debatir las necesidades de seguimiento y alta adecuadas según la práctica actual basada en pruebas, reconociendo las diferencias relacionadas con la edad, el nivel de desarrollo, la diversidad cultural y las diferencias geográficas</w:t>
            </w: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731357386"/>
                <w:placeholder>
                  <w:docPart w:val="BAB3BC070FF54D3AB1103BB836D72C75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Minutos recomendados: 195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BA38D5">
              <w:rPr>
                <w:rFonts w:asciiTheme="minorHAnsi" w:hAnsiTheme="minorHAnsi"/>
                <w:color w:val="000000" w:themeColor="text1"/>
                <w:lang w:val="es-MX"/>
              </w:rPr>
              <w:t>Debe ser una profesional certificada por EECAS-A o EECAS-P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991177673"/>
            <w:placeholder>
              <w:docPart w:val="8518C2D1505D44E790CC9484AB8F102E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lastRenderedPageBreak/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5978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59092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31160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82318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12513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3626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7226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1233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06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D" w:rsidRPr="00BA38D5" w:rsidRDefault="00982ADD" w:rsidP="00283D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  <w:lang w:val="es-MX"/>
              </w:rPr>
            </w:pP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lastRenderedPageBreak/>
              <w:t>Sección 12: Consideraciones legales y procedimientos judiciales</w:t>
            </w:r>
          </w:p>
          <w:p w:rsidR="00982ADD" w:rsidRPr="00BA38D5" w:rsidRDefault="00982ADD" w:rsidP="00283DD3">
            <w:pPr>
              <w:tabs>
                <w:tab w:val="left" w:pos="6340"/>
              </w:tabs>
              <w:ind w:left="36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Consideraciones legales</w:t>
            </w:r>
            <w:r w:rsidRPr="00BA38D5">
              <w:rPr>
                <w:rFonts w:asciiTheme="minorHAnsi" w:hAnsiTheme="minorHAnsi"/>
              </w:rPr>
              <w:tab/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38"/>
              </w:numPr>
              <w:tabs>
                <w:tab w:val="left" w:pos="1080"/>
              </w:tabs>
              <w:spacing w:after="0" w:line="240" w:lineRule="auto"/>
              <w:ind w:left="720" w:firstLine="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Consentimiento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080" w:firstLine="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Conceptos clave relacionados con la obtención del consentimiento informado y el asentimiento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Metodología para obtener el consentimiento para realizar un examen médico forense en poblaciones de pacientes adultas y adolescentes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Diferencias entre los requisitos legales relacionados con el consentimiento o la declinación de la atención médica y el consentimiento o la declinación de la recopilación y divulgación de pruebas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Impacto de la edad, el nivel de desarrollo y la incapacidad física y mental en los procedimientos de consentimiento y la metodología apropiada para obtener el consentimiento en cada caso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Excepciones legales a la obtención del consentimiento aplicables a la zona de práctica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Posibles consecuencias de las opciones de presentación de informes y de la asistencia al paciente para la adopción de decisiones con conocimiento de causa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Posibles consecuencias de la retirada del consentimiento y/o del asentimiento y la necesidad de explicarlo a la paciente respetando y apoyando sus decisiones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Coordinación con otras proveedoras para apoyar las decisiones de las pacientes para el examen médico forense y el consentimiento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080" w:firstLine="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Procedimientos a seguir cuando la paciente no puede dar su consentimiento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La importancia crítica de no realizar nunca el examen médico forense contra la voluntad de la paciente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24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Necesidades fisiológicas, psicológicas, socioculturales, espirituales y económicas de las pacientes adultas y adolescentes después de una agresión sexual que pueden afectar a los procedimientos de consentimiento informado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Reembolso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170" w:hanging="27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Opciones de indemnización/reembolso asociadas a la realización de un examen médico forense a las víctimas adultas y adolescentes de delitos de violencia sexual en la pareja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170" w:hanging="27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Procedimientos y opciones de reembolso para las poblaciones de pacientes adultas y adolescentes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Confidencialidad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24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Requisitos legales relacionados con la confidencialidad de la paciente y su repercusión en el suministro de información sanitaria protegida a pacientes, familias y agencias multidisciplinarias, entre Otro(s):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Ley de Portabilidad y Responsabilidad del Seguro Médico (HIPAA) u otra legislación de confidencialidad aplicable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Conceptos clave relacionados con el consentimiento informado y la divulgación de información sanitaria protegida</w:t>
            </w:r>
          </w:p>
          <w:p w:rsidR="00982ADD" w:rsidRPr="00BA38D5" w:rsidRDefault="00982ADD" w:rsidP="00982A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lastRenderedPageBreak/>
              <w:t>Necesidades fisiológicas, psicológicas, socioculturales, espirituales y económicas de las pacientes adultas y adolescentes después de una agresión sexual que puedan afectar a los procedimientos de confidencialidad</w:t>
            </w:r>
          </w:p>
          <w:p w:rsidR="00982ADD" w:rsidRPr="00BA38D5" w:rsidRDefault="00982ADD" w:rsidP="00982ADD">
            <w:pPr>
              <w:numPr>
                <w:ilvl w:val="1"/>
                <w:numId w:val="24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Exámenes médicos de detección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Requisitos legales relacionados con la realización de un examen médico de detección y su repercusión en la prestación de atención médica forense a pacientes adultas y adolescentes después de ser objeto de violencia de pareja o sexual, entre otras: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39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Ley de Tratamiento Médico de Emergencia y Trabajo Activo (Emergency Medical Treatment and Active Labor Act, EMTALA) u otra legislación aplicable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39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Procedimientos necesarios para obtener el consentimiento informado y la declinación informada de conformidad con la legislación aplicable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39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Procedimientos necesarios para transferir o dar de alta/remitir a una paciente de conformidad con la legislación aplicable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39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Priorizar y asegurar el tratamiento médico según lo indicado por la presentación específica de las principales quejas</w:t>
            </w:r>
          </w:p>
          <w:p w:rsidR="00982ADD" w:rsidRPr="00BA38D5" w:rsidRDefault="00982ADD" w:rsidP="00982ADD">
            <w:pPr>
              <w:pStyle w:val="ListParagraph"/>
              <w:numPr>
                <w:ilvl w:val="4"/>
                <w:numId w:val="39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Necesidades fisiológicas, psicológicas, socioculturales, espirituales y económicas de las pacientes adultas y adolescentes después de una agresión sexual que pueda afectar a los procedimientos médicos</w:t>
            </w:r>
          </w:p>
          <w:p w:rsidR="00982ADD" w:rsidRPr="00BA38D5" w:rsidRDefault="00982ADD" w:rsidP="00982ADD">
            <w:pPr>
              <w:numPr>
                <w:ilvl w:val="1"/>
                <w:numId w:val="24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Requisitos de presentación de informes obligatorios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Requisitos legales relacionados con los requisitos de presentación de informes obligatorios en las poblaciones de pacientes adultas y adolescentes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Procedimientos y opciones para la presentación obligatoria de informes para las poblaciones de pacientes adultas y adolescentes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Diferenciación entre las evaluaciones forenses médicas notificadas y las restringidas/anónimas después de la violencia sexual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Modificación de los procedimientos de examen médico forense en casos no reportados/anónimos</w:t>
            </w:r>
          </w:p>
          <w:p w:rsidR="00982ADD" w:rsidRPr="00BA38D5" w:rsidRDefault="00982ADD" w:rsidP="00982ADD">
            <w:pPr>
              <w:numPr>
                <w:ilvl w:val="2"/>
                <w:numId w:val="24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Necesidades fisiológicas, psicológicas, socioculturales, espirituales y económicas de las pacientes adultas y adolescentes después de una agresión sexual que puedan afectar a los procedimientos obligatorios de presentación de informes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Procedimientos judiciales</w:t>
            </w:r>
          </w:p>
          <w:p w:rsidR="00982ADD" w:rsidRPr="00BA38D5" w:rsidRDefault="00982ADD" w:rsidP="00982ADD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ind w:hanging="360"/>
              <w:rPr>
                <w:rFonts w:asciiTheme="minorHAnsi" w:hAnsiTheme="minorHAnsi" w:cstheme="minorHAnsi"/>
                <w:szCs w:val="24"/>
                <w:lang w:val="es-MX"/>
              </w:rPr>
            </w:pPr>
            <w:bookmarkStart w:id="5" w:name="_Hlk521592703"/>
            <w:r w:rsidRPr="00BA38D5">
              <w:rPr>
                <w:rFonts w:asciiTheme="minorHAnsi" w:hAnsiTheme="minorHAnsi"/>
                <w:lang w:val="es-MX"/>
              </w:rPr>
              <w:t>Función de la EECAS en los procedimientos judiciales y administrativos, incluidos:</w:t>
            </w:r>
          </w:p>
          <w:p w:rsidR="00982ADD" w:rsidRPr="00BA38D5" w:rsidRDefault="00982ADD" w:rsidP="00982ADD">
            <w:pPr>
              <w:pStyle w:val="ListParagraph"/>
              <w:numPr>
                <w:ilvl w:val="2"/>
                <w:numId w:val="40"/>
              </w:numPr>
              <w:spacing w:after="0" w:line="240" w:lineRule="auto"/>
              <w:ind w:left="1440" w:hanging="360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Procedimientos judiciales civiles contra penales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Procedimientos del tribunal de familia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Procedimientos administrativos/universitarios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Audiencias del Título IX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Los procedimientos militares y de la corte marcial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Audiencias de matrimonio/divorcio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Procedimientos de custodia de los menores de edad</w:t>
            </w:r>
            <w:bookmarkEnd w:id="5"/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Definiciones legales asociadas a la violencia sexual</w:t>
            </w:r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Jurisprudencia y precedencia judicial que afectan a la prestación de testimonio en los procedimientos judiciales, como: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Admisibilidad u otras leyes aplicables específicas del área de práctica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Normas sobre pruebas u otras leyes aplicables específicas del área de práctica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Testimonio referencial (de oídas) u otras leyes aplicables específicas del área de práctica</w:t>
            </w:r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Diferencias entre los procedimientos judiciales civiles y penales, incluidas las normas aplicables a las pruebas</w:t>
            </w:r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Diferencias entre las funciones y responsabilidades de los testigos de hecho y los peritos en los procedimientos judiciales</w:t>
            </w:r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Diferencias entre los juicios con juez y con jurado</w:t>
            </w:r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lastRenderedPageBreak/>
              <w:t>Procesos judiciales: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Acusación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Lectura de cargos/Audiencia inicial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lang w:val="es-MX"/>
              </w:rPr>
              <w:t>Acuerdo de declaración de culpabilidad</w:t>
            </w:r>
            <w:r w:rsidRPr="00BA38D5">
              <w:rPr>
                <w:rFonts w:asciiTheme="minorHAnsi" w:hAnsiTheme="minorHAnsi"/>
                <w:lang w:val="es-MX"/>
              </w:rPr>
              <w:t xml:space="preserve"> 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t>Sentencia</w:t>
            </w:r>
            <w:r w:rsidRPr="00BA38D5">
              <w:rPr>
                <w:rFonts w:asciiTheme="minorHAnsi" w:hAnsiTheme="minorHAnsi"/>
              </w:rPr>
              <w:t xml:space="preserve"> 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Deposición extrajudicial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Citación judicial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Interrogatorio </w:t>
            </w:r>
            <w:r w:rsidRPr="00BA38D5">
              <w:rPr>
                <w:rFonts w:asciiTheme="minorHAnsi" w:hAnsiTheme="minorHAnsi"/>
              </w:rPr>
              <w:t>directo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Contrainterrogatorio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Objeciones</w:t>
            </w:r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El papel de la enfermera forense en los procedimientos judiciales, incluido: 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Educar a la persona adjudicadora de los hechos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Proporcionar un testimonio efectivo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Comportamiento y apariencia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Comportamiento y apariencia</w:t>
            </w:r>
            <w:r w:rsidRPr="00BA38D5">
              <w:rPr>
                <w:rFonts w:asciiTheme="minorHAnsi" w:hAnsiTheme="minorHAnsi"/>
              </w:rPr>
              <w:cr/>
            </w:r>
            <w:r w:rsidRPr="00BA38D5">
              <w:rPr>
                <w:rFonts w:asciiTheme="minorHAnsi" w:hAnsiTheme="minorHAnsi"/>
              </w:rPr>
              <w:br/>
              <w:t>Objetividad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Precisión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Testimonio basado en pruebas</w:t>
            </w:r>
          </w:p>
          <w:p w:rsidR="00982ADD" w:rsidRPr="00BA38D5" w:rsidRDefault="00982ADD" w:rsidP="00982ADD">
            <w:pPr>
              <w:numPr>
                <w:ilvl w:val="2"/>
                <w:numId w:val="40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BA38D5">
              <w:rPr>
                <w:rFonts w:asciiTheme="minorHAnsi" w:hAnsiTheme="minorHAnsi"/>
              </w:rPr>
              <w:t>Profesionalidad</w:t>
            </w:r>
          </w:p>
          <w:p w:rsidR="00982ADD" w:rsidRPr="00BA38D5" w:rsidRDefault="00982ADD" w:rsidP="00982ADD">
            <w:pPr>
              <w:numPr>
                <w:ilvl w:val="1"/>
                <w:numId w:val="40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>Procesos clave relacionados con la preparación previa al juicio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MARCO HORARIO (si es presencial)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Tiempo aproximado necesario para la entrega del contenido y/o la participación en la actividad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789814150"/>
                <w:placeholder>
                  <w:docPart w:val="935334AA9FCD4D12A122271A2434B84F"/>
                </w:placeholder>
                <w:showingPlcHdr/>
                <w:text/>
              </w:sdtPr>
              <w:sdtEndPr/>
              <w:sdtContent>
                <w:r w:rsidR="00982ADD"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</w:rPr>
              <w:t xml:space="preserve">minutos 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BA38D5">
              <w:rPr>
                <w:rFonts w:asciiTheme="minorHAnsi" w:hAnsiTheme="minorHAnsi"/>
              </w:rPr>
              <w:t xml:space="preserve">Minutos recomendados: 330 minutos </w:t>
            </w:r>
          </w:p>
        </w:tc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PRESENTADORA/AUTORA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Anote el nombre-credenciales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Debe incluir, como mínimo, a una </w:t>
            </w:r>
            <w:r>
              <w:rPr>
                <w:rFonts w:asciiTheme="minorHAnsi" w:hAnsiTheme="minorHAnsi"/>
                <w:lang w:val="es-MX"/>
              </w:rPr>
              <w:t>Fiscal</w:t>
            </w:r>
            <w:r w:rsidRPr="00BA38D5">
              <w:rPr>
                <w:rFonts w:asciiTheme="minorHAnsi" w:hAnsiTheme="minorHAnsi"/>
                <w:lang w:val="es-MX"/>
              </w:rPr>
              <w:t xml:space="preserve"> y una enfermera certificada por EECAS-A o EECAS-P.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-441690275"/>
            <w:placeholder>
              <w:docPart w:val="46CB764AB7944F33B3249B2000D79DE7"/>
            </w:placeholder>
            <w:showingPlcHdr/>
            <w:text/>
          </w:sdtPr>
          <w:sdtEndPr/>
          <w:sdtContent>
            <w:tc>
              <w:tcPr>
                <w:tcW w:w="7293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982ADD" w:rsidRPr="00BA38D5" w:rsidRDefault="00982ADD" w:rsidP="00283DD3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 w:cstheme="minorHAnsi"/>
                    <w:lang w:val="es-MX"/>
                  </w:rPr>
                </w:pPr>
                <w:r w:rsidRPr="00BA38D5">
                  <w:rPr>
                    <w:rStyle w:val="PlaceholderText"/>
                    <w:lang w:val="es-MX"/>
                  </w:rPr>
                  <w:t>Haga clic o toque aquí para introducir el texto.</w:t>
                </w:r>
              </w:p>
            </w:tc>
          </w:sdtContent>
        </w:sdt>
      </w:tr>
      <w:tr w:rsidR="00982ADD" w:rsidRPr="00BD3DDB" w:rsidTr="00283DD3">
        <w:trPr>
          <w:trHeight w:val="406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MÉTODOS DE ENSEÑANZA/ESTRATEGIAS PARA LA PARTICIPACIÓN DE LA ESTUDIANTE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i/>
                <w:iCs/>
                <w:sz w:val="16"/>
                <w:szCs w:val="16"/>
                <w:lang w:val="es-MX"/>
              </w:rPr>
            </w:pPr>
            <w:r w:rsidRPr="00BA38D5">
              <w:rPr>
                <w:rFonts w:asciiTheme="minorHAnsi" w:hAnsiTheme="minorHAnsi"/>
                <w:i/>
                <w:sz w:val="16"/>
                <w:lang w:val="es-MX"/>
              </w:rPr>
              <w:t>Seleccione las estrategias de participación que usará el profesorado, presentadoras y autoras: PowerPoint y conferencias por sí solas no son estrategias de participación de la estudiante)</w:t>
            </w:r>
          </w:p>
          <w:p w:rsidR="00982ADD" w:rsidRPr="00BA38D5" w:rsidRDefault="00982ADD" w:rsidP="00283DD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BA38D5">
              <w:rPr>
                <w:rFonts w:asciiTheme="minorHAnsi" w:hAnsiTheme="minorHAnsi"/>
                <w:i/>
                <w:sz w:val="16"/>
              </w:rPr>
              <w:t>(seleccione todas las relevantes)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80709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Conferencia/PowerPoint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t>(seleccione al menos una estrategia adicional a continuación):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4958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Integrar oportunidades de diálogo o pregunta/respuesta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3261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Incluir tiempo para la autocomprobación o la reflexión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19882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Sistema de respuesta de la audiencia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9889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Análisis de estudios de casos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4661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Proporcionar oportunidades para el aprendizaje basado en problemas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-4198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>Prueba antes y después</w:t>
            </w:r>
          </w:p>
          <w:p w:rsidR="00982ADD" w:rsidRPr="00BA38D5" w:rsidRDefault="006132DE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lang w:val="es-MX"/>
                </w:rPr>
                <w:id w:val="212117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lang w:val="es-MX"/>
              </w:rPr>
              <w:t xml:space="preserve"> Otro(s): </w:t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u w:val="single"/>
              </w:rPr>
            </w:r>
            <w:r w:rsidR="00982ADD"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82ADD"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ADD" w:rsidRPr="00BD3DDB" w:rsidTr="00283DD3">
        <w:trPr>
          <w:trHeight w:val="433"/>
        </w:trPr>
        <w:tc>
          <w:tcPr>
            <w:tcW w:w="14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BA38D5">
              <w:rPr>
                <w:rFonts w:asciiTheme="minorHAnsi" w:hAnsiTheme="minorHAnsi"/>
                <w:b/>
                <w:lang w:val="es-MX"/>
              </w:rPr>
              <w:lastRenderedPageBreak/>
              <w:t>MINUTOS REQUERIDOS EN TOTAL = al menos 2400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BA38D5">
              <w:rPr>
                <w:b/>
                <w:bCs/>
                <w:lang w:val="es-MX"/>
              </w:rPr>
              <w:t>MINUTOS REALES EN TOTAL =</w:t>
            </w:r>
            <w:r w:rsidRPr="00BA38D5">
              <w:rPr>
                <w:lang w:val="es-MX"/>
              </w:rPr>
              <w:t xml:space="preserve"> </w:t>
            </w:r>
            <w:r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Pr="00BA38D5">
              <w:rPr>
                <w:rFonts w:asciiTheme="minorHAnsi" w:hAnsiTheme="minorHAnsi" w:cstheme="minorHAnsi"/>
                <w:u w:val="single"/>
              </w:rPr>
            </w:r>
            <w:r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Pr="00BA38D5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:rsidR="00982ADD" w:rsidRPr="00BA38D5" w:rsidRDefault="00982ADD" w:rsidP="00283DD3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jc w:val="center"/>
              <w:rPr>
                <w:rFonts w:asciiTheme="minorHAnsi" w:hAnsiTheme="minorHAnsi" w:cstheme="minorHAnsi"/>
                <w:lang w:val="es-MX"/>
              </w:rPr>
            </w:pPr>
          </w:p>
          <w:p w:rsidR="00982ADD" w:rsidRPr="00BA38D5" w:rsidRDefault="00982ADD" w:rsidP="00283DD3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BA38D5">
              <w:rPr>
                <w:b/>
                <w:bCs/>
                <w:lang w:val="es-MX"/>
              </w:rPr>
              <w:t xml:space="preserve">MINUTOS REALES </w:t>
            </w:r>
            <w:r w:rsidRPr="00BA38D5">
              <w:rPr>
                <w:rFonts w:asciiTheme="minorHAnsi" w:hAnsiTheme="minorHAnsi"/>
                <w:b/>
                <w:lang w:val="es-MX"/>
              </w:rPr>
              <w:t xml:space="preserve">/60 minutos = </w:t>
            </w:r>
            <w:r w:rsidRPr="00BA38D5">
              <w:rPr>
                <w:rFonts w:asciiTheme="minorHAnsi" w:hAnsiTheme="minorHAnsi" w:cstheme="minorHAnsi"/>
                <w:u w:val="single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A38D5">
              <w:rPr>
                <w:rFonts w:asciiTheme="minorHAnsi" w:hAnsiTheme="minorHAnsi" w:cstheme="minorHAnsi"/>
                <w:u w:val="single"/>
                <w:lang w:val="es-MX"/>
              </w:rPr>
              <w:instrText xml:space="preserve"> FORMTEXT </w:instrText>
            </w:r>
            <w:r w:rsidRPr="00BA38D5">
              <w:rPr>
                <w:rFonts w:asciiTheme="minorHAnsi" w:hAnsiTheme="minorHAnsi" w:cstheme="minorHAnsi"/>
                <w:u w:val="single"/>
              </w:rPr>
            </w:r>
            <w:r w:rsidRPr="00BA38D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BA38D5">
              <w:rPr>
                <w:rFonts w:asciiTheme="minorHAnsi" w:hAnsiTheme="minorHAnsi"/>
                <w:u w:val="single"/>
                <w:lang w:val="es-MX"/>
              </w:rPr>
              <w:t>     </w:t>
            </w:r>
            <w:r w:rsidRPr="00BA38D5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BA38D5">
              <w:rPr>
                <w:rFonts w:asciiTheme="minorHAnsi" w:hAnsiTheme="minorHAnsi"/>
                <w:b/>
                <w:u w:val="single"/>
                <w:lang w:val="es-MX"/>
              </w:rPr>
              <w:t xml:space="preserve"> </w:t>
            </w:r>
            <w:r w:rsidRPr="00BA38D5">
              <w:rPr>
                <w:rFonts w:asciiTheme="minorHAnsi" w:hAnsiTheme="minorHAnsi"/>
                <w:b/>
                <w:lang w:val="es-MX"/>
              </w:rPr>
              <w:t>horas de contacto.</w:t>
            </w:r>
          </w:p>
          <w:p w:rsidR="00982ADD" w:rsidRPr="00BA38D5" w:rsidRDefault="00982ADD" w:rsidP="00283DD3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982ADD" w:rsidRPr="00BA38D5" w:rsidTr="00283DD3">
        <w:trPr>
          <w:trHeight w:val="471"/>
        </w:trPr>
        <w:tc>
          <w:tcPr>
            <w:tcW w:w="1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b/>
                <w:lang w:val="es-MX"/>
              </w:rPr>
            </w:pPr>
            <w:r w:rsidRPr="00BA38D5">
              <w:rPr>
                <w:rFonts w:asciiTheme="minorHAnsi" w:hAnsiTheme="minorHAnsi"/>
                <w:lang w:val="es-MX"/>
              </w:rPr>
              <w:t xml:space="preserve">Enumere las citas completas de </w:t>
            </w:r>
            <w:r w:rsidRPr="00BA38D5">
              <w:rPr>
                <w:rFonts w:asciiTheme="minorHAnsi" w:hAnsiTheme="minorHAnsi"/>
                <w:b/>
                <w:bCs/>
                <w:lang w:val="es-MX"/>
              </w:rPr>
              <w:t>al menos tres (3)</w:t>
            </w:r>
            <w:r w:rsidRPr="00BA38D5">
              <w:rPr>
                <w:rFonts w:asciiTheme="minorHAnsi" w:hAnsiTheme="minorHAnsi"/>
                <w:lang w:val="es-MX"/>
              </w:rPr>
              <w:t xml:space="preserve"> referencias/recursos basados en pruebas que se hayan utilizado para desarrollar esta actividad educativa:</w:t>
            </w:r>
            <w:r w:rsidRPr="00BA38D5">
              <w:rPr>
                <w:b/>
                <w:lang w:val="es-MX"/>
              </w:rPr>
              <w:t xml:space="preserve"> 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Adams, J., Kellogg, N., &amp; Moles, R. (2016). Medical care for children who may have been sexually abused: An update for 2016. </w:t>
            </w:r>
            <w:r w:rsidRPr="00BA38D5">
              <w:rPr>
                <w:rFonts w:asciiTheme="minorHAnsi" w:hAnsiTheme="minorHAnsi"/>
                <w:i/>
              </w:rPr>
              <w:t>Clinical Emergency Pediatric Medicine, 17(4)</w:t>
            </w:r>
            <w:r w:rsidRPr="00BA38D5">
              <w:rPr>
                <w:rFonts w:asciiTheme="minorHAnsi" w:hAnsiTheme="minorHAnsi"/>
              </w:rPr>
              <w:t>, 255–263.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Agency for Healthcare Research and Quality. (2016, April). </w:t>
            </w:r>
            <w:r w:rsidRPr="00BA38D5">
              <w:rPr>
                <w:rFonts w:asciiTheme="minorHAnsi" w:hAnsiTheme="minorHAnsi"/>
                <w:i/>
              </w:rPr>
              <w:t>Trauma-Informed Care</w:t>
            </w:r>
            <w:r w:rsidRPr="00BA38D5">
              <w:rPr>
                <w:rFonts w:asciiTheme="minorHAnsi" w:hAnsiTheme="minorHAnsi"/>
              </w:rPr>
              <w:t>. Retrieved from Prevention and Chronic Care: https://www.ahrq.gov/professionals/prevention-chronic-care/healthier-pregnancy/preventive/trauma.html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American Nurses Association. (2015). </w:t>
            </w:r>
            <w:r w:rsidRPr="00BA38D5">
              <w:rPr>
                <w:rFonts w:asciiTheme="minorHAnsi" w:hAnsiTheme="minorHAnsi"/>
                <w:i/>
              </w:rPr>
              <w:t>Nursing: scope and standards of practice</w:t>
            </w:r>
            <w:r w:rsidRPr="00BA38D5">
              <w:rPr>
                <w:rFonts w:asciiTheme="minorHAnsi" w:hAnsiTheme="minorHAnsi"/>
              </w:rPr>
              <w:t xml:space="preserve"> (3rd ed.). Silver Spring, MD: Nursesbooks.org.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Barnes, J., Putnam, F., &amp; Trickett, P. (2009). Sexual and physical revictimizationamong victims of severe childhood sexual abuse. </w:t>
            </w:r>
            <w:r w:rsidRPr="00BA38D5">
              <w:rPr>
                <w:rFonts w:asciiTheme="minorHAnsi" w:hAnsiTheme="minorHAnsi"/>
                <w:i/>
              </w:rPr>
              <w:t>Child Abuse and Neglect, 33(7)</w:t>
            </w:r>
            <w:r w:rsidRPr="00BA38D5">
              <w:rPr>
                <w:rFonts w:asciiTheme="minorHAnsi" w:hAnsiTheme="minorHAnsi"/>
              </w:rPr>
              <w:t>, 412–420.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Benner, P. (1982). From novice to expert. </w:t>
            </w:r>
            <w:r w:rsidRPr="00BA38D5">
              <w:rPr>
                <w:rFonts w:asciiTheme="minorHAnsi" w:hAnsiTheme="minorHAnsi"/>
                <w:i/>
              </w:rPr>
              <w:t>American Journal of Nursing, 82</w:t>
            </w:r>
            <w:r w:rsidRPr="00BA38D5">
              <w:rPr>
                <w:rFonts w:asciiTheme="minorHAnsi" w:hAnsiTheme="minorHAnsi"/>
              </w:rPr>
              <w:t>(3), 402–407.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Benner, P. (1984). </w:t>
            </w:r>
            <w:r w:rsidRPr="00BA38D5">
              <w:rPr>
                <w:rFonts w:asciiTheme="minorHAnsi" w:hAnsiTheme="minorHAnsi"/>
                <w:i/>
              </w:rPr>
              <w:t>From novice to expert: Excellence and power in clinical nursing practice.</w:t>
            </w:r>
            <w:r w:rsidRPr="00BA38D5">
              <w:rPr>
                <w:rFonts w:asciiTheme="minorHAnsi" w:hAnsiTheme="minorHAnsi"/>
              </w:rPr>
              <w:t xml:space="preserve"> Menlo Park, CA: Addison-Wesley Publishing.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Center for Health Care Strategies. (2017, August). </w:t>
            </w:r>
            <w:r w:rsidRPr="00BA38D5">
              <w:rPr>
                <w:rFonts w:asciiTheme="minorHAnsi" w:hAnsiTheme="minorHAnsi"/>
                <w:i/>
              </w:rPr>
              <w:t>What is trauma-informed care?</w:t>
            </w:r>
            <w:r w:rsidRPr="00BA38D5">
              <w:rPr>
                <w:rFonts w:asciiTheme="minorHAnsi" w:hAnsiTheme="minorHAnsi"/>
              </w:rPr>
              <w:t xml:space="preserve"> Center for Health Care Strategies webinar presentation. Available at https://www.chcs.org/resource/key-ingredients-trauma-informed-care/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Culatta, R. (. (2018). </w:t>
            </w:r>
            <w:r w:rsidRPr="00BA38D5">
              <w:rPr>
                <w:rFonts w:asciiTheme="minorHAnsi" w:hAnsiTheme="minorHAnsi"/>
                <w:i/>
              </w:rPr>
              <w:t>Learning Theories: Andragogy (Malcolm Knowles)</w:t>
            </w:r>
            <w:r w:rsidRPr="00BA38D5">
              <w:rPr>
                <w:rFonts w:asciiTheme="minorHAnsi" w:hAnsiTheme="minorHAnsi"/>
              </w:rPr>
              <w:t>. Retrieved July 27, 2018, from Instructional Design: http://www.instructionaldesign.org/theories/andragogy/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Dreyfus, S. E. (1980). </w:t>
            </w:r>
            <w:r w:rsidRPr="00BA38D5">
              <w:rPr>
                <w:rFonts w:asciiTheme="minorHAnsi" w:hAnsiTheme="minorHAnsi"/>
                <w:i/>
              </w:rPr>
              <w:t>A five-stage model of the mental activities involved in directed skill acquisition.</w:t>
            </w:r>
            <w:r w:rsidRPr="00BA38D5">
              <w:rPr>
                <w:rFonts w:asciiTheme="minorHAnsi" w:hAnsiTheme="minorHAnsi"/>
              </w:rPr>
              <w:t xml:space="preserve"> Berkley, CA: University of California.</w:t>
            </w:r>
          </w:p>
          <w:p w:rsidR="00982ADD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bookmarkStart w:id="6" w:name="_Hlk521596655"/>
            <w:r w:rsidRPr="00BA38D5">
              <w:rPr>
                <w:rFonts w:asciiTheme="minorHAnsi" w:hAnsiTheme="minorHAnsi"/>
              </w:rPr>
              <w:t xml:space="preserve">Duffy, J. R. (1992). The impact of nurse caring on patient outcomes. In D. A. Gaut (Ed.), </w:t>
            </w:r>
            <w:r w:rsidRPr="00BA38D5">
              <w:rPr>
                <w:rFonts w:asciiTheme="minorHAnsi" w:hAnsiTheme="minorHAnsi"/>
                <w:i/>
              </w:rPr>
              <w:t xml:space="preserve">The presence of caring in nursing </w:t>
            </w:r>
            <w:r w:rsidRPr="00BA38D5">
              <w:rPr>
                <w:rFonts w:asciiTheme="minorHAnsi" w:hAnsiTheme="minorHAnsi"/>
              </w:rPr>
              <w:t>(pp. 113–136). New York, NY: National League for Nursing Press.</w:t>
            </w:r>
          </w:p>
          <w:p w:rsidR="00982ADD" w:rsidRPr="00AD3CBC" w:rsidRDefault="00982ADD" w:rsidP="00283DD3">
            <w:pPr>
              <w:tabs>
                <w:tab w:val="left" w:pos="11779"/>
              </w:tabs>
            </w:pPr>
            <w:r>
              <w:tab/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lastRenderedPageBreak/>
              <w:t xml:space="preserve">Duffy, J. R. (2009). Caring assessment tools and the CAT-admin. In J. Watson (Ed.), </w:t>
            </w:r>
            <w:r w:rsidRPr="00BA38D5">
              <w:rPr>
                <w:rFonts w:asciiTheme="minorHAnsi" w:hAnsiTheme="minorHAnsi"/>
                <w:i/>
              </w:rPr>
              <w:t>Instruments for assessing and measuring caring in nursing and health sciences</w:t>
            </w:r>
            <w:r w:rsidRPr="00BA38D5">
              <w:rPr>
                <w:rFonts w:asciiTheme="minorHAnsi" w:hAnsiTheme="minorHAnsi"/>
              </w:rPr>
              <w:t xml:space="preserve"> (2nd ed., pp. 131–148). New York, NY: Springer. </w:t>
            </w:r>
          </w:p>
          <w:bookmarkEnd w:id="6"/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Duffy, J. R. (2009). </w:t>
            </w:r>
            <w:r w:rsidRPr="00BA38D5">
              <w:rPr>
                <w:rFonts w:asciiTheme="minorHAnsi" w:hAnsiTheme="minorHAnsi"/>
                <w:i/>
              </w:rPr>
              <w:t>Quality caring in nursing: Applying theory to clinical practice, education, and leadership.</w:t>
            </w:r>
            <w:r w:rsidRPr="00BA38D5">
              <w:rPr>
                <w:rFonts w:asciiTheme="minorHAnsi" w:hAnsiTheme="minorHAnsi"/>
              </w:rPr>
              <w:t xml:space="preserve"> New York, NY: Springer.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Duffy, J. R. (2013). </w:t>
            </w:r>
            <w:r w:rsidRPr="00BA38D5">
              <w:rPr>
                <w:rFonts w:asciiTheme="minorHAnsi" w:hAnsiTheme="minorHAnsi"/>
                <w:i/>
              </w:rPr>
              <w:t>Quality caring: In nursing and health systems.</w:t>
            </w:r>
            <w:r w:rsidRPr="00BA38D5">
              <w:rPr>
                <w:rFonts w:asciiTheme="minorHAnsi" w:hAnsiTheme="minorHAnsi"/>
              </w:rPr>
              <w:t xml:space="preserve"> New York, NY: Springer.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Duffy, J. R., &amp; Hoskins, L. M. (2003). The Quality Caring Model: Blending dual paradigms. </w:t>
            </w:r>
            <w:r w:rsidRPr="00BA38D5">
              <w:rPr>
                <w:rFonts w:asciiTheme="minorHAnsi" w:hAnsiTheme="minorHAnsi"/>
                <w:i/>
              </w:rPr>
              <w:t>Advances in Nursing Science, 26</w:t>
            </w:r>
            <w:r w:rsidRPr="00BA38D5">
              <w:rPr>
                <w:rFonts w:asciiTheme="minorHAnsi" w:hAnsiTheme="minorHAnsi"/>
              </w:rPr>
              <w:t>(1), 77–88.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Duffy, J., Hoskins, L. M., &amp; Seifert, R. F. (2007). Dimensions of caring: Psychometric properties of the caring assessment tool. </w:t>
            </w:r>
            <w:r w:rsidRPr="00BA38D5">
              <w:rPr>
                <w:rFonts w:asciiTheme="minorHAnsi" w:hAnsiTheme="minorHAnsi"/>
                <w:i/>
              </w:rPr>
              <w:t>Advances in Nursing Science, 30</w:t>
            </w:r>
            <w:r w:rsidRPr="00BA38D5">
              <w:rPr>
                <w:rFonts w:asciiTheme="minorHAnsi" w:hAnsiTheme="minorHAnsi"/>
              </w:rPr>
              <w:t>(3), 235</w:t>
            </w:r>
            <w:bookmarkStart w:id="7" w:name="_Hlk521595590"/>
            <w:r w:rsidRPr="00BA38D5">
              <w:rPr>
                <w:rFonts w:asciiTheme="minorHAnsi" w:hAnsiTheme="minorHAnsi"/>
              </w:rPr>
              <w:t>–</w:t>
            </w:r>
            <w:bookmarkEnd w:id="7"/>
            <w:r w:rsidRPr="00BA38D5">
              <w:rPr>
                <w:rFonts w:asciiTheme="minorHAnsi" w:hAnsiTheme="minorHAnsi"/>
              </w:rPr>
              <w:t>245.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ERC. (2017, January 23). </w:t>
            </w:r>
            <w:r w:rsidRPr="00BA38D5">
              <w:rPr>
                <w:rFonts w:asciiTheme="minorHAnsi" w:hAnsiTheme="minorHAnsi"/>
                <w:i/>
              </w:rPr>
              <w:t>3 Reasons Why Traditional Classroom Learning Is Still King</w:t>
            </w:r>
            <w:r w:rsidRPr="00BA38D5">
              <w:rPr>
                <w:rFonts w:asciiTheme="minorHAnsi" w:hAnsiTheme="minorHAnsi"/>
              </w:rPr>
              <w:t>. Retrieved from HR Insights Blog: https://www.yourerc.com/blog/post/3-reasons-why-traditional-classroom-based-learning-is-still-king.aspx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Felitti, V., Anda, R., Nordenberg, D., Williamson, D., Spitz, A., Edwards, V., . . . Marks, J. (1998). Relationship of childhood abuse and household dysfunction to many of the leading causes of death in adults: The Adverse Childhood Experiences (ACE) Study. </w:t>
            </w:r>
            <w:r w:rsidRPr="00BA38D5">
              <w:rPr>
                <w:rFonts w:asciiTheme="minorHAnsi" w:hAnsiTheme="minorHAnsi"/>
                <w:i/>
              </w:rPr>
              <w:t>American Journal of Preventitive Medicine, 14(4)</w:t>
            </w:r>
            <w:r w:rsidRPr="00BA38D5">
              <w:rPr>
                <w:rFonts w:asciiTheme="minorHAnsi" w:hAnsiTheme="minorHAnsi"/>
              </w:rPr>
              <w:t>, 245-258.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Finkelhor, D., Shattuck, A., Turner, H., &amp; Hamby, S. L. (2014). The lifetime prevalence of child sexual abuse and sexual assault assessed in late adolescence. </w:t>
            </w:r>
            <w:r w:rsidRPr="00BA38D5">
              <w:rPr>
                <w:rFonts w:asciiTheme="minorHAnsi" w:hAnsiTheme="minorHAnsi"/>
                <w:i/>
              </w:rPr>
              <w:t>Journal of Adolescent Health, 55(3)</w:t>
            </w:r>
            <w:r w:rsidRPr="00BA38D5">
              <w:rPr>
                <w:rFonts w:asciiTheme="minorHAnsi" w:hAnsiTheme="minorHAnsi"/>
              </w:rPr>
              <w:t>, 329-333.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Godbout, N., Briere, J., Sabourin, S., &amp; Lussier, Y. (2014). Child sexual abuse and subsequent relational and personal functioning: The role of parental support . </w:t>
            </w:r>
            <w:r w:rsidRPr="00BA38D5">
              <w:rPr>
                <w:rFonts w:asciiTheme="minorHAnsi" w:hAnsiTheme="minorHAnsi"/>
                <w:i/>
              </w:rPr>
              <w:t>Child Abuse and Neglect, 38(2)</w:t>
            </w:r>
            <w:r w:rsidRPr="00BA38D5">
              <w:rPr>
                <w:rFonts w:asciiTheme="minorHAnsi" w:hAnsiTheme="minorHAnsi"/>
              </w:rPr>
              <w:t>, 317-325.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Hayden, J., Smiley, R. A., &amp; Kardong-Edgren, S. J. (2014). The NCSBN National Simulation Study: A Longitudinal, Randomized, Controlled Study Replacing Clinical Hours with Simulation in Prelicensure Nursing Educaiton. </w:t>
            </w:r>
            <w:r w:rsidRPr="00BA38D5">
              <w:rPr>
                <w:rFonts w:asciiTheme="minorHAnsi" w:hAnsiTheme="minorHAnsi"/>
                <w:i/>
              </w:rPr>
              <w:t>Journal of Nursing Regulation, 5</w:t>
            </w:r>
            <w:r w:rsidRPr="00BA38D5">
              <w:rPr>
                <w:rFonts w:asciiTheme="minorHAnsi" w:hAnsiTheme="minorHAnsi"/>
              </w:rPr>
              <w:t>(2 Supplement).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>Hockenberry, M., &amp; Wilson, D. (2015). Wong’s essentials of pediatric nursing. St. Louis, MO: Elsevier Mosby.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Krishnan, D., Keloth, A., &amp; Ubedulla, S. (2017, June). Pros and cons of simulation in medical education: A review. </w:t>
            </w:r>
            <w:r w:rsidRPr="00BA38D5">
              <w:rPr>
                <w:rFonts w:asciiTheme="minorHAnsi" w:hAnsiTheme="minorHAnsi"/>
                <w:i/>
              </w:rPr>
              <w:t>International Journal of Medical and Health Research, 3</w:t>
            </w:r>
            <w:r w:rsidRPr="00BA38D5">
              <w:rPr>
                <w:rFonts w:asciiTheme="minorHAnsi" w:hAnsiTheme="minorHAnsi"/>
              </w:rPr>
              <w:t>(6), 84–87.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Malloy, L., Mugno, A., Rivard, J., Lyon, T., &amp; Quas, J. (2016). Familial influences on recantation in substantiated child sexual abuse cases. </w:t>
            </w:r>
            <w:r w:rsidRPr="00BA38D5">
              <w:rPr>
                <w:rFonts w:asciiTheme="minorHAnsi" w:hAnsiTheme="minorHAnsi"/>
                <w:i/>
              </w:rPr>
              <w:t>Child Maltreatment, 21(3)</w:t>
            </w:r>
            <w:r w:rsidRPr="00BA38D5">
              <w:rPr>
                <w:rFonts w:asciiTheme="minorHAnsi" w:hAnsiTheme="minorHAnsi"/>
              </w:rPr>
              <w:t>, 256–261.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lastRenderedPageBreak/>
              <w:t xml:space="preserve">McElvaney, R. (2015). Disclosure of child sexual abuse: Delays, non-disclosure and partial disclosure. What the research tells us and implications for practice. </w:t>
            </w:r>
            <w:r w:rsidRPr="00BA38D5">
              <w:rPr>
                <w:rFonts w:asciiTheme="minorHAnsi" w:hAnsiTheme="minorHAnsi"/>
                <w:i/>
              </w:rPr>
              <w:t>Child Abuse Review, 24(3)</w:t>
            </w:r>
            <w:r w:rsidRPr="00BA38D5">
              <w:rPr>
                <w:rFonts w:asciiTheme="minorHAnsi" w:hAnsiTheme="minorHAnsi"/>
              </w:rPr>
              <w:t>, 159–169.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McElvaney, R., Greene, S., &amp; Hogan, D. (2014). To tell or not to tell? Factors influencing young people's informal disclosures of child sexual abuse. </w:t>
            </w:r>
            <w:r w:rsidRPr="00BA38D5">
              <w:rPr>
                <w:rFonts w:asciiTheme="minorHAnsi" w:hAnsiTheme="minorHAnsi"/>
                <w:i/>
              </w:rPr>
              <w:t>Journal of Interpersonal Violence, 29(5)</w:t>
            </w:r>
            <w:r w:rsidRPr="00BA38D5">
              <w:rPr>
                <w:rFonts w:asciiTheme="minorHAnsi" w:hAnsiTheme="minorHAnsi"/>
              </w:rPr>
              <w:t>, 928–947.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Meakim, C., Boese, T., Decker, S., Franklin, A., Gloe, D., &amp; Lioce, L. (2013, June). Standards of Best Practice: Simulation; Standard I: Terminology. </w:t>
            </w:r>
            <w:r w:rsidRPr="00BA38D5">
              <w:rPr>
                <w:rFonts w:asciiTheme="minorHAnsi" w:hAnsiTheme="minorHAnsi"/>
                <w:i/>
              </w:rPr>
              <w:t>Clinical Simulationin Nursing, 9</w:t>
            </w:r>
            <w:r w:rsidRPr="00BA38D5">
              <w:rPr>
                <w:rFonts w:asciiTheme="minorHAnsi" w:hAnsiTheme="minorHAnsi"/>
              </w:rPr>
              <w:t>(6 Supplement), S3–S11.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Noll, J., Shenk, C., &amp; Putnam, K. (2009). Childhood sexual abuse and adolescent pregnancy: A meta-analysis of the published research on the effects of child sexual abuse. </w:t>
            </w:r>
            <w:r w:rsidRPr="00BA38D5">
              <w:rPr>
                <w:rFonts w:asciiTheme="minorHAnsi" w:hAnsiTheme="minorHAnsi"/>
                <w:i/>
              </w:rPr>
              <w:t>Journal of Psychology, 135(1)</w:t>
            </w:r>
            <w:r w:rsidRPr="00BA38D5">
              <w:rPr>
                <w:rFonts w:asciiTheme="minorHAnsi" w:hAnsiTheme="minorHAnsi"/>
              </w:rPr>
              <w:t>, 17–36.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Petiprin, A. (2016). </w:t>
            </w:r>
            <w:r w:rsidRPr="00BA38D5">
              <w:rPr>
                <w:rFonts w:asciiTheme="minorHAnsi" w:hAnsiTheme="minorHAnsi"/>
                <w:i/>
              </w:rPr>
              <w:t>Nursing theory: Roy adaptation model</w:t>
            </w:r>
            <w:r w:rsidRPr="00BA38D5">
              <w:rPr>
                <w:rFonts w:asciiTheme="minorHAnsi" w:hAnsiTheme="minorHAnsi"/>
              </w:rPr>
              <w:t>. Retrieved April 26, 2018, from Nursing Theory: http://nursing-theory.org/theories-and-models/roy-adaptation-model.php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Raja, S. H.-Y. (2015). Trauma Informed Care in Medicine: Current Knowledge and Future Research. </w:t>
            </w:r>
            <w:r w:rsidRPr="00BA38D5">
              <w:rPr>
                <w:rFonts w:asciiTheme="minorHAnsi" w:hAnsiTheme="minorHAnsi"/>
                <w:i/>
              </w:rPr>
              <w:t>Community Health</w:t>
            </w:r>
            <w:r w:rsidRPr="00BA38D5">
              <w:rPr>
                <w:rFonts w:asciiTheme="minorHAnsi" w:hAnsiTheme="minorHAnsi"/>
              </w:rPr>
              <w:t>, 216–226.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Rothman, E., Exner, D., &amp; Baughman, A. (2011). The prevalence of sexual assault against people who identify as gay, lesbian, or bisexual in the United States: A systematic review. </w:t>
            </w:r>
            <w:r w:rsidRPr="00BA38D5">
              <w:rPr>
                <w:rFonts w:asciiTheme="minorHAnsi" w:hAnsiTheme="minorHAnsi"/>
                <w:i/>
              </w:rPr>
              <w:t>Trauma, Violence &amp; Abuse, 12</w:t>
            </w:r>
            <w:r w:rsidRPr="00BA38D5">
              <w:rPr>
                <w:rFonts w:asciiTheme="minorHAnsi" w:hAnsiTheme="minorHAnsi"/>
              </w:rPr>
              <w:t>(2), 55–66.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Ruiz, J. G. (2006). The impact of e-learning in medical education. </w:t>
            </w:r>
            <w:r w:rsidRPr="00BA38D5">
              <w:rPr>
                <w:rFonts w:asciiTheme="minorHAnsi" w:hAnsiTheme="minorHAnsi"/>
                <w:i/>
              </w:rPr>
              <w:t>Academic Medicine, 81</w:t>
            </w:r>
            <w:r w:rsidRPr="00BA38D5">
              <w:rPr>
                <w:rFonts w:asciiTheme="minorHAnsi" w:hAnsiTheme="minorHAnsi"/>
              </w:rPr>
              <w:t>(3), 207–212.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Sumner, S., Mercy, J., Saul, J., Motsa-Nzuza, N., Kwesigabo, G., &amp; Buluma, R. (2015). Prevalence of sexual violence against children and use of social services - seven countries, 2007–2013. </w:t>
            </w:r>
            <w:r w:rsidRPr="00BA38D5">
              <w:rPr>
                <w:rFonts w:asciiTheme="minorHAnsi" w:hAnsiTheme="minorHAnsi"/>
                <w:i/>
              </w:rPr>
              <w:t>Morbidity and Mortality Weekly Report, 64</w:t>
            </w:r>
            <w:r w:rsidRPr="00BA38D5">
              <w:rPr>
                <w:rFonts w:asciiTheme="minorHAnsi" w:hAnsiTheme="minorHAnsi"/>
              </w:rPr>
              <w:t>(21), pp. 565–569.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Watson, J. (1979). </w:t>
            </w:r>
            <w:r w:rsidRPr="00BA38D5">
              <w:rPr>
                <w:rFonts w:asciiTheme="minorHAnsi" w:hAnsiTheme="minorHAnsi"/>
                <w:i/>
              </w:rPr>
              <w:t>Nursing: The Philosophy and Science of Caring.</w:t>
            </w:r>
            <w:r w:rsidRPr="00BA38D5">
              <w:rPr>
                <w:rFonts w:asciiTheme="minorHAnsi" w:hAnsiTheme="minorHAnsi"/>
              </w:rPr>
              <w:t xml:space="preserve"> Boston: Little, Brown, &amp; Co.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Watson, J. (1985). </w:t>
            </w:r>
            <w:r w:rsidRPr="00BA38D5">
              <w:rPr>
                <w:rFonts w:asciiTheme="minorHAnsi" w:hAnsiTheme="minorHAnsi"/>
                <w:i/>
              </w:rPr>
              <w:t>The theory of human care: a theory of nursing.</w:t>
            </w:r>
            <w:r w:rsidRPr="00BA38D5">
              <w:rPr>
                <w:rFonts w:asciiTheme="minorHAnsi" w:hAnsiTheme="minorHAnsi"/>
              </w:rPr>
              <w:t xml:space="preserve"> Connecticut: Appleton-Century Crofts.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 xml:space="preserve">World Health Organization. (2013). Responding to intimate partner violence and sexual violence against women: WHO clinical and policy guidelines. </w:t>
            </w:r>
            <w:r w:rsidRPr="00BA38D5">
              <w:rPr>
                <w:rFonts w:asciiTheme="minorHAnsi" w:hAnsiTheme="minorHAnsi"/>
                <w:i/>
              </w:rPr>
              <w:t>World Health Organization</w:t>
            </w:r>
            <w:r w:rsidRPr="00BA38D5">
              <w:rPr>
                <w:rFonts w:asciiTheme="minorHAnsi" w:hAnsiTheme="minorHAnsi"/>
              </w:rPr>
              <w:t>.</w:t>
            </w:r>
          </w:p>
          <w:p w:rsidR="00982ADD" w:rsidRPr="00BA38D5" w:rsidRDefault="00982ADD" w:rsidP="00283DD3">
            <w:pPr>
              <w:pStyle w:val="Bibliography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BA38D5">
              <w:rPr>
                <w:rFonts w:asciiTheme="minorHAnsi" w:hAnsiTheme="minorHAnsi"/>
              </w:rPr>
              <w:t>World Health Organization. (2017). Responding to children and adolescents who have been sexually abused: WHO clinical guidelines. Geneva, Switzerland.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 w:rsidRPr="00BA38D5">
              <w:rPr>
                <w:rFonts w:asciiTheme="minorHAnsi" w:hAnsiTheme="minorHAnsi"/>
              </w:rPr>
              <w:t xml:space="preserve">Yuen, A. (2011). Exploring teaching approaches in blended learning. </w:t>
            </w:r>
            <w:r w:rsidRPr="00BA38D5">
              <w:rPr>
                <w:rFonts w:asciiTheme="minorHAnsi" w:hAnsiTheme="minorHAnsi"/>
                <w:i/>
              </w:rPr>
              <w:t>Research &amp; Practice in Technology Enhanced Learning, 6</w:t>
            </w:r>
            <w:r w:rsidRPr="00BA38D5">
              <w:rPr>
                <w:rFonts w:asciiTheme="minorHAnsi" w:hAnsiTheme="minorHAnsi"/>
              </w:rPr>
              <w:t>(1), 3–23.</w:t>
            </w:r>
          </w:p>
          <w:p w:rsidR="00982ADD" w:rsidRPr="00BA38D5" w:rsidRDefault="00982ADD" w:rsidP="00283DD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</w:tbl>
    <w:p w:rsidR="00982ADD" w:rsidRPr="00BA38D5" w:rsidRDefault="00982ADD" w:rsidP="00982ADD">
      <w:pPr>
        <w:spacing w:after="0" w:line="240" w:lineRule="auto"/>
        <w:rPr>
          <w:rFonts w:asciiTheme="minorHAnsi" w:hAnsiTheme="minorHAnsi"/>
          <w:b/>
        </w:rPr>
      </w:pPr>
    </w:p>
    <w:p w:rsidR="00982ADD" w:rsidRPr="00BA38D5" w:rsidRDefault="00982ADD" w:rsidP="00982ADD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  <w:r w:rsidRPr="00BA38D5">
        <w:rPr>
          <w:rFonts w:asciiTheme="minorHAnsi" w:hAnsiTheme="minorHAnsi"/>
          <w:b/>
          <w:u w:val="single"/>
        </w:rPr>
        <w:lastRenderedPageBreak/>
        <w:t>Si en vivo:</w:t>
      </w:r>
    </w:p>
    <w:p w:rsidR="00982ADD" w:rsidRPr="00BA38D5" w:rsidRDefault="00982ADD" w:rsidP="00982ADD">
      <w:pPr>
        <w:spacing w:after="0" w:line="240" w:lineRule="auto"/>
        <w:ind w:hanging="360"/>
        <w:rPr>
          <w:rFonts w:asciiTheme="minorHAnsi" w:hAnsi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>Nota: El tiempo dedicado a la evaluación de la actividad de aprendizaje puede incluirse en el tiempo total al calcular las horas de contacto.</w:t>
      </w:r>
    </w:p>
    <w:p w:rsidR="00982ADD" w:rsidRPr="00BA38D5" w:rsidRDefault="00982ADD" w:rsidP="00982ADD">
      <w:pPr>
        <w:spacing w:after="0" w:line="240" w:lineRule="auto"/>
        <w:ind w:firstLine="900"/>
        <w:rPr>
          <w:rFonts w:asciiTheme="minorHAnsi" w:hAnsiTheme="minorHAnsi"/>
          <w:b/>
        </w:rPr>
      </w:pPr>
      <w:r w:rsidRPr="00BA38D5">
        <w:rPr>
          <w:rFonts w:asciiTheme="minorHAnsi" w:hAnsiTheme="minorHAnsi"/>
          <w:b/>
        </w:rPr>
        <w:t xml:space="preserve">Total minutos  </w:t>
      </w:r>
      <w:sdt>
        <w:sdtPr>
          <w:rPr>
            <w:b/>
          </w:rPr>
          <w:id w:val="-1104424090"/>
          <w:text/>
        </w:sdtPr>
        <w:sdtEndPr/>
        <w:sdtContent>
          <w:r w:rsidRPr="00BA38D5">
            <w:rPr>
              <w:b/>
            </w:rPr>
            <w:t xml:space="preserve">2400     </w:t>
          </w:r>
        </w:sdtContent>
      </w:sdt>
      <w:r w:rsidRPr="00BA38D5">
        <w:rPr>
          <w:rFonts w:asciiTheme="minorHAnsi" w:hAnsiTheme="minorHAnsi"/>
          <w:b/>
        </w:rPr>
        <w:t xml:space="preserve">  divided by 60 =   </w:t>
      </w:r>
      <w:sdt>
        <w:sdtPr>
          <w:rPr>
            <w:b/>
          </w:rPr>
          <w:id w:val="1428536056"/>
          <w:text/>
        </w:sdtPr>
        <w:sdtEndPr/>
        <w:sdtContent>
          <w:r w:rsidRPr="00BA38D5">
            <w:rPr>
              <w:b/>
            </w:rPr>
            <w:t xml:space="preserve">   40    </w:t>
          </w:r>
        </w:sdtContent>
      </w:sdt>
      <w:r w:rsidRPr="00BA38D5">
        <w:rPr>
          <w:rFonts w:asciiTheme="minorHAnsi" w:hAnsiTheme="minorHAnsi"/>
          <w:b/>
        </w:rPr>
        <w:t xml:space="preserve">    contact hour(s)</w:t>
      </w:r>
    </w:p>
    <w:p w:rsidR="00982ADD" w:rsidRPr="00BA38D5" w:rsidRDefault="00982ADD" w:rsidP="00982ADD">
      <w:pPr>
        <w:spacing w:after="0" w:line="240" w:lineRule="auto"/>
        <w:ind w:hanging="360"/>
        <w:rPr>
          <w:rFonts w:asciiTheme="minorHAnsi" w:hAnsiTheme="minorHAnsi"/>
          <w:b/>
          <w:u w:val="single"/>
          <w:lang w:val="es-MX"/>
        </w:rPr>
      </w:pPr>
      <w:r w:rsidRPr="00BA38D5">
        <w:rPr>
          <w:rFonts w:asciiTheme="minorHAnsi" w:hAnsiTheme="minorHAnsi"/>
          <w:b/>
          <w:u w:val="single"/>
          <w:lang w:val="es-MX"/>
        </w:rPr>
        <w:t>Si en diferido:</w:t>
      </w:r>
    </w:p>
    <w:p w:rsidR="00982ADD" w:rsidRPr="00BA38D5" w:rsidRDefault="00982ADD" w:rsidP="00982ADD">
      <w:pPr>
        <w:spacing w:after="0" w:line="240" w:lineRule="auto"/>
        <w:ind w:hanging="360"/>
        <w:rPr>
          <w:rFonts w:asciiTheme="minorHAnsi" w:hAnsi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>Método de cálculo de las horas de contacto:</w:t>
      </w:r>
    </w:p>
    <w:p w:rsidR="00982ADD" w:rsidRPr="00BA38D5" w:rsidRDefault="006132DE" w:rsidP="00982ADD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1260" w:right="-720" w:hanging="540"/>
        <w:rPr>
          <w:rFonts w:asciiTheme="minorHAnsi" w:hAnsiTheme="minorHAnsi"/>
          <w:b/>
          <w:lang w:val="es-MX"/>
        </w:rPr>
      </w:pPr>
      <w:sdt>
        <w:sdtPr>
          <w:rPr>
            <w:rFonts w:asciiTheme="minorHAnsi" w:hAnsiTheme="minorHAnsi"/>
            <w:snapToGrid w:val="0"/>
            <w:u w:val="single"/>
            <w:lang w:val="es-MX"/>
          </w:rPr>
          <w:id w:val="9345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="00982ADD" w:rsidRPr="00BA38D5">
        <w:rPr>
          <w:rFonts w:asciiTheme="minorHAnsi" w:hAnsiTheme="minorHAnsi"/>
          <w:snapToGrid w:val="0"/>
          <w:lang w:val="es-MX"/>
        </w:rPr>
        <w:t xml:space="preserve"> </w:t>
      </w:r>
      <w:r w:rsidR="00982ADD" w:rsidRPr="00BA38D5">
        <w:rPr>
          <w:rFonts w:asciiTheme="minorHAnsi" w:hAnsiTheme="minorHAnsi"/>
          <w:b/>
          <w:lang w:val="es-MX"/>
        </w:rPr>
        <w:t xml:space="preserve">Estudio piloto      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8310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="00982ADD" w:rsidRPr="00BA38D5">
        <w:rPr>
          <w:rFonts w:asciiTheme="minorHAnsi" w:hAnsiTheme="minorHAnsi"/>
          <w:snapToGrid w:val="0"/>
          <w:lang w:val="es-MX"/>
        </w:rPr>
        <w:t xml:space="preserve"> </w:t>
      </w:r>
      <w:r w:rsidR="00982ADD" w:rsidRPr="00BA38D5">
        <w:rPr>
          <w:rFonts w:asciiTheme="minorHAnsi" w:hAnsiTheme="minorHAnsi"/>
          <w:b/>
          <w:lang w:val="es-MX"/>
        </w:rPr>
        <w:t xml:space="preserve">Fórmula Mergener   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17507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="00982ADD" w:rsidRPr="00BA38D5">
        <w:rPr>
          <w:rFonts w:asciiTheme="minorHAnsi" w:hAnsiTheme="minorHAnsi"/>
          <w:lang w:val="es-MX"/>
        </w:rPr>
        <w:t xml:space="preserve"> </w:t>
      </w:r>
      <w:r w:rsidR="00982ADD" w:rsidRPr="00BA38D5">
        <w:rPr>
          <w:rFonts w:asciiTheme="minorHAnsi" w:hAnsiTheme="minorHAnsi"/>
          <w:b/>
          <w:lang w:val="es-MX"/>
        </w:rPr>
        <w:t xml:space="preserve">Datos históricos     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01688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="00982ADD" w:rsidRPr="00BA38D5">
        <w:rPr>
          <w:rFonts w:asciiTheme="minorHAnsi" w:hAnsiTheme="minorHAnsi"/>
          <w:snapToGrid w:val="0"/>
          <w:lang w:val="es-MX"/>
        </w:rPr>
        <w:t xml:space="preserve"> </w:t>
      </w:r>
      <w:r w:rsidR="00982ADD" w:rsidRPr="00BA38D5">
        <w:rPr>
          <w:rFonts w:asciiTheme="minorHAnsi" w:hAnsiTheme="minorHAnsi"/>
          <w:b/>
          <w:lang w:val="es-MX"/>
        </w:rPr>
        <w:t xml:space="preserve">Complejidad del contenido </w:t>
      </w:r>
      <w:r w:rsidR="00982ADD" w:rsidRPr="00BA38D5">
        <w:rPr>
          <w:rFonts w:asciiTheme="minorHAnsi" w:hAnsiTheme="minorHAnsi"/>
          <w:lang w:val="es-MX"/>
        </w:rPr>
        <w:t xml:space="preserve">       </w:t>
      </w:r>
      <w:sdt>
        <w:sdtPr>
          <w:rPr>
            <w:rFonts w:asciiTheme="minorHAnsi" w:hAnsiTheme="minorHAnsi"/>
            <w:snapToGrid w:val="0"/>
            <w:u w:val="single"/>
            <w:lang w:val="es-MX"/>
          </w:rPr>
          <w:id w:val="199329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MS Gothic" w:eastAsia="MS Gothic" w:hAnsi="MS Gothic" w:hint="eastAsia"/>
              <w:snapToGrid w:val="0"/>
              <w:u w:val="single"/>
              <w:lang w:val="es-MX"/>
            </w:rPr>
            <w:t>☐</w:t>
          </w:r>
        </w:sdtContent>
      </w:sdt>
      <w:r w:rsidR="00982ADD" w:rsidRPr="00BA38D5">
        <w:rPr>
          <w:rFonts w:asciiTheme="minorHAnsi" w:hAnsiTheme="minorHAnsi"/>
          <w:snapToGrid w:val="0"/>
          <w:lang w:val="es-MX"/>
        </w:rPr>
        <w:t xml:space="preserve"> </w:t>
      </w:r>
      <w:r w:rsidR="00982ADD" w:rsidRPr="00BA38D5">
        <w:rPr>
          <w:rFonts w:asciiTheme="minorHAnsi" w:hAnsiTheme="minorHAnsi"/>
          <w:b/>
          <w:lang w:val="es-MX"/>
        </w:rPr>
        <w:t xml:space="preserve">Otros: Describir  </w:t>
      </w:r>
      <w:r w:rsidR="00982ADD" w:rsidRPr="00BA38D5">
        <w:rPr>
          <w:b/>
          <w:lang w:val="es-MX"/>
        </w:rPr>
        <w:t xml:space="preserve"> </w:t>
      </w:r>
      <w:sdt>
        <w:sdtPr>
          <w:rPr>
            <w:b/>
          </w:rPr>
          <w:id w:val="-131251005"/>
          <w:showingPlcHdr/>
          <w:text/>
        </w:sdtPr>
        <w:sdtEndPr/>
        <w:sdtContent>
          <w:r w:rsidR="00982ADD" w:rsidRPr="00BA38D5">
            <w:rPr>
              <w:rStyle w:val="PlaceholderText"/>
              <w:sz w:val="20"/>
              <w:szCs w:val="20"/>
              <w:lang w:val="es-MX"/>
            </w:rPr>
            <w:t>Haga clic aquí para escribir.</w:t>
          </w:r>
        </w:sdtContent>
      </w:sdt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  <w:lang w:val="es-MX"/>
        </w:rPr>
      </w:pPr>
    </w:p>
    <w:p w:rsidR="00982ADD" w:rsidRPr="00BA38D5" w:rsidRDefault="00982ADD" w:rsidP="00982ADD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356"/>
        <w:contextualSpacing/>
        <w:rPr>
          <w:rFonts w:asciiTheme="minorHAnsi" w:eastAsia="Calibri" w:hAnsiTheme="minorHAnsi" w:cstheme="minorHAnsi"/>
          <w:lang w:val="es-MX"/>
        </w:rPr>
      </w:pPr>
      <w:r w:rsidRPr="00BA38D5">
        <w:rPr>
          <w:rFonts w:asciiTheme="minorHAnsi" w:hAnsiTheme="minorHAnsi"/>
          <w:b/>
          <w:lang w:val="es-MX"/>
        </w:rPr>
        <w:t>Criterios para la concesión de horas de contacto</w:t>
      </w:r>
    </w:p>
    <w:p w:rsidR="00982ADD" w:rsidRPr="00BA38D5" w:rsidRDefault="00982ADD" w:rsidP="00982ADD">
      <w:pPr>
        <w:tabs>
          <w:tab w:val="left" w:pos="360"/>
        </w:tabs>
        <w:suppressAutoHyphens/>
        <w:spacing w:after="0" w:line="240" w:lineRule="auto"/>
        <w:ind w:left="4"/>
        <w:contextualSpacing/>
        <w:rPr>
          <w:rFonts w:asciiTheme="minorHAnsi" w:eastAsia="Calibri" w:hAnsiTheme="minorHAnsi" w:cstheme="minorHAnsi"/>
          <w:lang w:val="es-MX"/>
        </w:rPr>
      </w:pPr>
      <w:r w:rsidRPr="00BA38D5">
        <w:rPr>
          <w:rFonts w:asciiTheme="minorHAnsi" w:hAnsiTheme="minorHAnsi"/>
          <w:lang w:val="es-MX"/>
        </w:rPr>
        <w:t xml:space="preserve">Los criterios para otorgar horas de contacto para actividades materiales en vivo y en diferido incluyen: </w:t>
      </w:r>
    </w:p>
    <w:p w:rsidR="00982ADD" w:rsidRPr="00BA38D5" w:rsidRDefault="00982ADD" w:rsidP="00982ADD">
      <w:pPr>
        <w:tabs>
          <w:tab w:val="left" w:pos="360"/>
        </w:tabs>
        <w:suppressAutoHyphens/>
        <w:spacing w:after="0" w:line="240" w:lineRule="auto"/>
        <w:ind w:left="360"/>
        <w:rPr>
          <w:rFonts w:asciiTheme="minorHAnsi" w:eastAsia="Calibri" w:hAnsiTheme="minorHAnsi" w:cstheme="minorHAnsi"/>
          <w:lang w:val="es-MX"/>
        </w:rPr>
      </w:pPr>
      <w:r w:rsidRPr="00BA38D5">
        <w:rPr>
          <w:rFonts w:asciiTheme="minorHAnsi" w:hAnsiTheme="minorHAnsi"/>
          <w:lang w:val="es-MX"/>
        </w:rPr>
        <w:t xml:space="preserve">(Marque todo lo que corresponda) </w:t>
      </w:r>
    </w:p>
    <w:p w:rsidR="00982ADD" w:rsidRPr="00BA38D5" w:rsidRDefault="006132DE" w:rsidP="00982ADD">
      <w:pPr>
        <w:tabs>
          <w:tab w:val="left" w:pos="0"/>
          <w:tab w:val="left" w:pos="900"/>
        </w:tabs>
        <w:spacing w:after="0" w:line="240" w:lineRule="auto"/>
        <w:ind w:left="900" w:hanging="540"/>
        <w:rPr>
          <w:rFonts w:asciiTheme="minorHAnsi" w:eastAsia="Calibri" w:hAnsiTheme="minorHAnsi" w:cstheme="minorHAnsi"/>
          <w:lang w:val="es-MX"/>
        </w:rPr>
      </w:pPr>
      <w:sdt>
        <w:sdtPr>
          <w:rPr>
            <w:rFonts w:asciiTheme="minorHAnsi" w:eastAsia="Calibri" w:hAnsiTheme="minorHAnsi" w:cstheme="minorHAnsi"/>
            <w:lang w:val="es-MX"/>
          </w:rPr>
          <w:id w:val="-1887404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MS Gothic" w:eastAsia="MS Gothic" w:hAnsi="MS Gothic" w:cstheme="minorHAnsi" w:hint="eastAsia"/>
              <w:lang w:val="es-MX" w:bidi="ar-SA"/>
            </w:rPr>
            <w:t>☒</w:t>
          </w:r>
        </w:sdtContent>
      </w:sdt>
      <w:r w:rsidR="00982ADD" w:rsidRPr="00BA38D5">
        <w:rPr>
          <w:rFonts w:asciiTheme="minorHAnsi" w:hAnsiTheme="minorHAnsi"/>
          <w:lang w:val="es-MX"/>
        </w:rPr>
        <w:tab/>
        <w:t xml:space="preserve"> Asistencia durante un período de tiempo específico (por ejemplo, 100% de la actividad, o no perder más de 10 minutos de actividad)</w:t>
      </w:r>
    </w:p>
    <w:p w:rsidR="00982ADD" w:rsidRPr="00BA38D5" w:rsidRDefault="006132DE" w:rsidP="00982ADD">
      <w:pPr>
        <w:tabs>
          <w:tab w:val="left" w:pos="-198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val="es-MX"/>
        </w:rPr>
      </w:pPr>
      <w:sdt>
        <w:sdtPr>
          <w:rPr>
            <w:rFonts w:asciiTheme="minorHAnsi" w:eastAsia="Calibri" w:hAnsiTheme="minorHAnsi" w:cstheme="minorHAnsi"/>
            <w:lang w:val="es-MX"/>
          </w:rPr>
          <w:id w:val="-134662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Segoe UI Symbol" w:eastAsia="Calibri" w:hAnsi="Segoe UI Symbol" w:cs="Segoe UI Symbol"/>
              <w:lang w:val="es-MX" w:bidi="ar-SA"/>
            </w:rPr>
            <w:t>☐</w:t>
          </w:r>
        </w:sdtContent>
      </w:sdt>
      <w:r w:rsidR="00982ADD" w:rsidRPr="00BA38D5">
        <w:rPr>
          <w:rFonts w:asciiTheme="minorHAnsi" w:hAnsiTheme="minorHAnsi"/>
          <w:lang w:val="es-MX"/>
        </w:rPr>
        <w:tab/>
        <w:t xml:space="preserve"> Crédito concedido es proporcional a la participación</w:t>
      </w:r>
    </w:p>
    <w:p w:rsidR="00982ADD" w:rsidRPr="00BA38D5" w:rsidRDefault="006132DE" w:rsidP="00982ADD">
      <w:pPr>
        <w:tabs>
          <w:tab w:val="left" w:pos="-144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val="es-MX"/>
        </w:rPr>
      </w:pPr>
      <w:sdt>
        <w:sdtPr>
          <w:rPr>
            <w:rFonts w:asciiTheme="minorHAnsi" w:eastAsia="Calibri" w:hAnsiTheme="minorHAnsi" w:cstheme="minorHAnsi"/>
            <w:lang w:val="es-MX"/>
          </w:rPr>
          <w:id w:val="-135380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Segoe UI Symbol" w:eastAsia="Calibri" w:hAnsi="Segoe UI Symbol" w:cs="Segoe UI Symbol"/>
              <w:lang w:val="es-MX" w:bidi="ar-SA"/>
            </w:rPr>
            <w:t>☐</w:t>
          </w:r>
        </w:sdtContent>
      </w:sdt>
      <w:r w:rsidR="00982ADD" w:rsidRPr="00BA38D5">
        <w:rPr>
          <w:rFonts w:asciiTheme="minorHAnsi" w:hAnsiTheme="minorHAnsi"/>
          <w:lang w:val="es-MX"/>
        </w:rPr>
        <w:t xml:space="preserve"> </w:t>
      </w:r>
      <w:r w:rsidR="00982ADD" w:rsidRPr="00BA38D5">
        <w:rPr>
          <w:rFonts w:asciiTheme="minorHAnsi" w:hAnsiTheme="minorHAnsi"/>
          <w:lang w:val="es-MX"/>
        </w:rPr>
        <w:tab/>
        <w:t xml:space="preserve"> Asistencia a una o más sesiones </w:t>
      </w:r>
    </w:p>
    <w:p w:rsidR="00982ADD" w:rsidRPr="00BA38D5" w:rsidRDefault="006132DE" w:rsidP="00982ADD">
      <w:pPr>
        <w:tabs>
          <w:tab w:val="left" w:pos="-126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val="es-MX"/>
        </w:rPr>
      </w:pPr>
      <w:sdt>
        <w:sdtPr>
          <w:rPr>
            <w:rFonts w:asciiTheme="minorHAnsi" w:eastAsia="Calibri" w:hAnsiTheme="minorHAnsi" w:cstheme="minorHAnsi"/>
            <w:lang w:val="es-MX"/>
          </w:rPr>
          <w:id w:val="889392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MS Gothic" w:eastAsia="MS Gothic" w:hAnsi="MS Gothic" w:cstheme="minorHAnsi" w:hint="eastAsia"/>
              <w:lang w:val="es-MX" w:bidi="ar-SA"/>
            </w:rPr>
            <w:t>☒</w:t>
          </w:r>
        </w:sdtContent>
      </w:sdt>
      <w:r w:rsidR="00982ADD" w:rsidRPr="00BA38D5">
        <w:rPr>
          <w:rFonts w:asciiTheme="minorHAnsi" w:hAnsiTheme="minorHAnsi"/>
          <w:snapToGrid w:val="0"/>
          <w:lang w:val="es-MX"/>
        </w:rPr>
        <w:t xml:space="preserve"> </w:t>
      </w:r>
      <w:r w:rsidR="00982ADD" w:rsidRPr="00BA38D5">
        <w:rPr>
          <w:rFonts w:asciiTheme="minorHAnsi" w:hAnsiTheme="minorHAnsi"/>
          <w:snapToGrid w:val="0"/>
          <w:lang w:val="es-MX"/>
        </w:rPr>
        <w:tab/>
      </w:r>
      <w:r w:rsidR="00982ADD" w:rsidRPr="00BA38D5">
        <w:rPr>
          <w:rFonts w:asciiTheme="minorHAnsi" w:hAnsiTheme="minorHAnsi"/>
          <w:lang w:val="es-MX"/>
        </w:rPr>
        <w:t xml:space="preserve"> Cumplimentación/envío del formulario de evaluación </w:t>
      </w:r>
    </w:p>
    <w:p w:rsidR="00982ADD" w:rsidRPr="00BA38D5" w:rsidRDefault="006132DE" w:rsidP="00982ADD">
      <w:pPr>
        <w:tabs>
          <w:tab w:val="left" w:pos="-135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val="es-MX"/>
        </w:rPr>
      </w:pPr>
      <w:sdt>
        <w:sdtPr>
          <w:rPr>
            <w:rFonts w:asciiTheme="minorHAnsi" w:eastAsia="Calibri" w:hAnsiTheme="minorHAnsi" w:cstheme="minorHAnsi"/>
            <w:lang w:val="es-MX"/>
          </w:rPr>
          <w:id w:val="3449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Segoe UI Symbol" w:eastAsia="Calibri" w:hAnsi="Segoe UI Symbol" w:cs="Segoe UI Symbol"/>
              <w:lang w:val="es-MX" w:bidi="ar-SA"/>
            </w:rPr>
            <w:t>☐</w:t>
          </w:r>
        </w:sdtContent>
      </w:sdt>
      <w:r w:rsidR="00982ADD" w:rsidRPr="00BA38D5">
        <w:rPr>
          <w:rFonts w:asciiTheme="minorHAnsi" w:hAnsiTheme="minorHAnsi"/>
          <w:lang w:val="es-MX"/>
        </w:rPr>
        <w:t xml:space="preserve"> </w:t>
      </w:r>
      <w:r w:rsidR="00982ADD" w:rsidRPr="00BA38D5">
        <w:rPr>
          <w:rFonts w:asciiTheme="minorHAnsi" w:hAnsiTheme="minorHAnsi"/>
          <w:lang w:val="es-MX"/>
        </w:rPr>
        <w:tab/>
        <w:t xml:space="preserve"> Finalización satisfactoria de una prueba posterior (por ejemplo, el asistente debe obtener una puntuación de) </w:t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val="es-MX" w:bidi="ar-SA"/>
        </w:rPr>
        <w:instrText xml:space="preserve"> FORMTEXT </w:instrText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982ADD" w:rsidRPr="00BA38D5">
        <w:rPr>
          <w:rFonts w:asciiTheme="minorHAnsi" w:hAnsiTheme="minorHAnsi"/>
          <w:snapToGrid w:val="0"/>
          <w:u w:val="single"/>
          <w:shd w:val="clear" w:color="auto" w:fill="E5DFEC"/>
          <w:lang w:val="es-MX"/>
        </w:rPr>
        <w:t>     </w:t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end"/>
      </w:r>
      <w:r w:rsidR="00982ADD" w:rsidRPr="00BA38D5">
        <w:rPr>
          <w:lang w:val="es-MX"/>
        </w:rPr>
        <w:t>% o superior</w:t>
      </w:r>
      <w:r w:rsidR="00982ADD" w:rsidRPr="00BA38D5">
        <w:rPr>
          <w:rFonts w:asciiTheme="minorHAnsi" w:hAnsiTheme="minorHAnsi"/>
          <w:lang w:val="es-MX"/>
        </w:rPr>
        <w:t>)</w:t>
      </w:r>
    </w:p>
    <w:p w:rsidR="00982ADD" w:rsidRPr="00BA38D5" w:rsidRDefault="006132DE" w:rsidP="00982ADD">
      <w:pPr>
        <w:tabs>
          <w:tab w:val="left" w:pos="-117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val="es-MX"/>
        </w:rPr>
      </w:pPr>
      <w:sdt>
        <w:sdtPr>
          <w:rPr>
            <w:rFonts w:asciiTheme="minorHAnsi" w:eastAsia="Calibri" w:hAnsiTheme="minorHAnsi" w:cstheme="minorHAnsi"/>
            <w:lang w:val="es-MX"/>
          </w:rPr>
          <w:id w:val="-1600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Segoe UI Symbol" w:eastAsia="Calibri" w:hAnsi="Segoe UI Symbol" w:cs="Segoe UI Symbol"/>
              <w:lang w:val="es-MX" w:bidi="ar-SA"/>
            </w:rPr>
            <w:t>☐</w:t>
          </w:r>
        </w:sdtContent>
      </w:sdt>
      <w:r w:rsidR="00982ADD" w:rsidRPr="00BA38D5">
        <w:rPr>
          <w:rFonts w:asciiTheme="minorHAnsi" w:hAnsiTheme="minorHAnsi"/>
          <w:lang w:val="es-MX"/>
        </w:rPr>
        <w:t xml:space="preserve"> </w:t>
      </w:r>
      <w:r w:rsidR="00982ADD" w:rsidRPr="00BA38D5">
        <w:rPr>
          <w:rFonts w:asciiTheme="minorHAnsi" w:hAnsiTheme="minorHAnsi"/>
          <w:lang w:val="es-MX"/>
        </w:rPr>
        <w:tab/>
        <w:t xml:space="preserve">Finalización con éxito de una demostración de retorno  </w:t>
      </w:r>
    </w:p>
    <w:p w:rsidR="00982ADD" w:rsidRPr="00BA38D5" w:rsidRDefault="006132DE" w:rsidP="00982ADD">
      <w:pPr>
        <w:tabs>
          <w:tab w:val="left" w:pos="-99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snapToGrid w:val="0"/>
          <w:u w:val="single"/>
          <w:lang w:val="es-MX"/>
        </w:rPr>
      </w:pPr>
      <w:sdt>
        <w:sdtPr>
          <w:rPr>
            <w:rFonts w:asciiTheme="minorHAnsi" w:eastAsia="Calibri" w:hAnsiTheme="minorHAnsi" w:cstheme="minorHAnsi"/>
            <w:lang w:val="es-MX"/>
          </w:rPr>
          <w:id w:val="124792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DD" w:rsidRPr="00BA38D5">
            <w:rPr>
              <w:rFonts w:ascii="Segoe UI Symbol" w:eastAsia="Calibri" w:hAnsi="Segoe UI Symbol" w:cs="Segoe UI Symbol"/>
              <w:lang w:val="es-MX" w:bidi="ar-SA"/>
            </w:rPr>
            <w:t>☐</w:t>
          </w:r>
        </w:sdtContent>
      </w:sdt>
      <w:r w:rsidR="00982ADD" w:rsidRPr="00BA38D5">
        <w:rPr>
          <w:rFonts w:asciiTheme="minorHAnsi" w:hAnsiTheme="minorHAnsi"/>
          <w:snapToGrid w:val="0"/>
          <w:lang w:val="es-MX"/>
        </w:rPr>
        <w:t xml:space="preserve"> </w:t>
      </w:r>
      <w:r w:rsidR="00982ADD" w:rsidRPr="00BA38D5">
        <w:rPr>
          <w:rFonts w:asciiTheme="minorHAnsi" w:hAnsiTheme="minorHAnsi"/>
          <w:snapToGrid w:val="0"/>
          <w:lang w:val="es-MX"/>
        </w:rPr>
        <w:tab/>
      </w:r>
      <w:r w:rsidR="00982ADD" w:rsidRPr="00BA38D5">
        <w:rPr>
          <w:rFonts w:asciiTheme="minorHAnsi" w:hAnsiTheme="minorHAnsi"/>
          <w:lang w:val="es-MX"/>
        </w:rPr>
        <w:t xml:space="preserve">Otro - Describa:   </w:t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val="es-MX" w:bidi="ar-SA"/>
        </w:rPr>
        <w:instrText xml:space="preserve"> FORMTEXT </w:instrText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982ADD" w:rsidRPr="00BA38D5">
        <w:rPr>
          <w:rFonts w:asciiTheme="minorHAnsi" w:hAnsiTheme="minorHAnsi"/>
          <w:snapToGrid w:val="0"/>
          <w:u w:val="single"/>
          <w:shd w:val="clear" w:color="auto" w:fill="E5DFEC"/>
          <w:lang w:val="es-MX"/>
        </w:rPr>
        <w:t>     </w:t>
      </w:r>
      <w:r w:rsidR="00982ADD" w:rsidRPr="00BA38D5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end"/>
      </w:r>
    </w:p>
    <w:p w:rsidR="00982ADD" w:rsidRPr="00BA38D5" w:rsidRDefault="00982ADD" w:rsidP="00982ADD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360"/>
        <w:rPr>
          <w:rFonts w:asciiTheme="minorHAnsi" w:hAnsiTheme="minorHAnsi" w:cstheme="minorHAnsi"/>
          <w:b/>
          <w:lang w:val="es-MX"/>
        </w:rPr>
      </w:pPr>
      <w:r w:rsidRPr="00BA38D5">
        <w:rPr>
          <w:rFonts w:asciiTheme="minorHAnsi" w:hAnsiTheme="minorHAnsi"/>
          <w:b/>
          <w:lang w:val="es-MX"/>
        </w:rPr>
        <w:t xml:space="preserve">Número estimado de horas de contacto a otorgar: </w:t>
      </w:r>
      <w:sdt>
        <w:sdtPr>
          <w:rPr>
            <w:rFonts w:asciiTheme="minorHAnsi" w:hAnsiTheme="minorHAnsi" w:cstheme="minorHAnsi"/>
          </w:rPr>
          <w:id w:val="624279524"/>
          <w:placeholder>
            <w:docPart w:val="A4A5B399F0424822A4BE03241E69135B"/>
          </w:placeholder>
          <w:showingPlcHdr/>
          <w:text/>
        </w:sdtPr>
        <w:sdtEndPr/>
        <w:sdtContent>
          <w:r w:rsidRPr="00BA38D5">
            <w:rPr>
              <w:rStyle w:val="PlaceholderText"/>
              <w:rFonts w:asciiTheme="minorHAnsi" w:hAnsiTheme="minorHAnsi"/>
              <w:lang w:val="es-MX"/>
            </w:rPr>
            <w:t>Haga click aquí para añadir texto.</w:t>
          </w:r>
        </w:sdtContent>
      </w:sdt>
    </w:p>
    <w:p w:rsidR="00982ADD" w:rsidRPr="00BA38D5" w:rsidRDefault="00982ADD" w:rsidP="00982ADD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theme="minorHAnsi"/>
          <w:b/>
          <w:lang w:val="es-MX"/>
        </w:rPr>
        <w:sectPr w:rsidR="00982ADD" w:rsidRPr="00BA38D5" w:rsidSect="00982A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p w:rsidR="00982ADD" w:rsidRPr="00BA38D5" w:rsidRDefault="00982ADD" w:rsidP="00982ADD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  <w:lang w:val="es-MX"/>
        </w:rPr>
      </w:pPr>
    </w:p>
    <w:p w:rsidR="00982ADD" w:rsidRPr="00BA38D5" w:rsidRDefault="00982ADD" w:rsidP="00982ADD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  <w:r w:rsidRPr="00BA38D5">
        <w:rPr>
          <w:rFonts w:asciiTheme="minorHAnsi" w:hAnsiTheme="minorHAnsi"/>
          <w:b/>
        </w:rPr>
        <w:t>Descripción del método de evaluación: How change in knowledge, skills, and/or practices of target audience will be assessed at the end of the activity (relate this to identified practice gap and educational need):</w:t>
      </w:r>
    </w:p>
    <w:p w:rsidR="00982ADD" w:rsidRPr="00BA38D5" w:rsidRDefault="00982ADD" w:rsidP="00982ADD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</w:p>
    <w:p w:rsidR="00982ADD" w:rsidRPr="00BA38D5" w:rsidRDefault="00982ADD" w:rsidP="00982ADD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4"/>
        <w:rPr>
          <w:rFonts w:asciiTheme="minorHAnsi" w:hAnsiTheme="minorHAnsi" w:cstheme="minorHAnsi"/>
          <w:b/>
        </w:rPr>
        <w:sectPr w:rsidR="00982ADD" w:rsidRPr="00BA38D5" w:rsidSect="006448C2">
          <w:type w:val="continuous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tbl>
      <w:tblPr>
        <w:tblW w:w="0" w:type="auto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87"/>
        <w:gridCol w:w="6750"/>
      </w:tblGrid>
      <w:tr w:rsidR="00982ADD" w:rsidRPr="00BD3DDB" w:rsidTr="00283DD3">
        <w:trPr>
          <w:trHeight w:val="2560"/>
        </w:trPr>
        <w:tc>
          <w:tcPr>
            <w:tcW w:w="6387" w:type="dxa"/>
          </w:tcPr>
          <w:p w:rsidR="00982ADD" w:rsidRPr="00BA38D5" w:rsidRDefault="00982ADD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b/>
                <w:sz w:val="24"/>
                <w:lang w:val="es-MX"/>
              </w:rPr>
              <w:t>Opciones de evaluación a corto plazo: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1140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>Intención de cambiar la manera de proceder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1505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>Participación activa en la actividad de aprendizaje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-8098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 Post-test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-53766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 Demostración de retorno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-6956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 Análisis de casos para el estudio 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-9554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 Juego de roles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4193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Otro - Describir: </w:t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  <w:fldChar w:fldCharType="separate"/>
            </w:r>
            <w:r w:rsidR="00982ADD" w:rsidRPr="00BA38D5">
              <w:rPr>
                <w:rFonts w:asciiTheme="minorHAnsi" w:hAnsiTheme="minorHAnsi"/>
                <w:snapToGrid w:val="0"/>
                <w:sz w:val="24"/>
                <w:u w:val="single"/>
                <w:shd w:val="clear" w:color="auto" w:fill="FFF2CC" w:themeFill="accent4" w:themeFillTint="33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  <w:fldChar w:fldCharType="end"/>
            </w:r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 </w:t>
            </w:r>
          </w:p>
          <w:p w:rsidR="00982ADD" w:rsidRPr="00BA38D5" w:rsidRDefault="00982ADD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982ADD" w:rsidRPr="00BA38D5" w:rsidRDefault="00982ADD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750" w:type="dxa"/>
          </w:tcPr>
          <w:p w:rsidR="00982ADD" w:rsidRPr="00BA38D5" w:rsidRDefault="00982ADD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A38D5">
              <w:rPr>
                <w:rFonts w:asciiTheme="minorHAnsi" w:hAnsiTheme="minorHAnsi"/>
                <w:b/>
                <w:sz w:val="24"/>
                <w:lang w:val="es-MX"/>
              </w:rPr>
              <w:t>Opciones de evaluación a largo plazo: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-124425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 Informe personal sobre cambios en la manera de proceder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-111297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>Cambio en la medida de la calidad del resultado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11549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>Retorno de la inversión (RI)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-15360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lang w:val="es-MX"/>
              </w:rPr>
              <w:t xml:space="preserve"> </w:t>
            </w:r>
            <w:r w:rsidR="00982ADD" w:rsidRPr="00BA38D5">
              <w:rPr>
                <w:rFonts w:asciiTheme="minorHAnsi" w:hAnsiTheme="minorHAnsi"/>
                <w:sz w:val="24"/>
                <w:lang w:val="es-MX"/>
              </w:rPr>
              <w:t>Observación de la actuación</w:t>
            </w:r>
          </w:p>
          <w:p w:rsidR="00982ADD" w:rsidRPr="00BA38D5" w:rsidRDefault="006132DE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MX"/>
                </w:rPr>
                <w:id w:val="17962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DD" w:rsidRPr="00BA38D5">
                  <w:rPr>
                    <w:rFonts w:ascii="Segoe UI Symbol" w:eastAsia="MS Gothic" w:hAnsi="Segoe UI Symbol" w:cs="Segoe UI Symbol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Otro - Describir: </w:t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  <w:lang w:val="es-MX"/>
              </w:rPr>
              <w:instrText xml:space="preserve"> FORMTEXT </w:instrText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  <w:fldChar w:fldCharType="separate"/>
            </w:r>
            <w:r w:rsidR="00982ADD" w:rsidRPr="00BA38D5">
              <w:rPr>
                <w:rFonts w:asciiTheme="minorHAnsi" w:hAnsiTheme="minorHAnsi"/>
                <w:snapToGrid w:val="0"/>
                <w:sz w:val="24"/>
                <w:u w:val="single"/>
                <w:shd w:val="clear" w:color="auto" w:fill="FFF2CC" w:themeFill="accent4" w:themeFillTint="33"/>
                <w:lang w:val="es-MX"/>
              </w:rPr>
              <w:t>     </w:t>
            </w:r>
            <w:r w:rsidR="00982ADD" w:rsidRPr="00BA38D5">
              <w:rPr>
                <w:rFonts w:asciiTheme="minorHAnsi" w:hAnsiTheme="minorHAnsi" w:cstheme="minorHAnsi"/>
                <w:snapToGrid w:val="0"/>
                <w:sz w:val="24"/>
                <w:u w:val="single"/>
                <w:shd w:val="clear" w:color="auto" w:fill="FFF2CC" w:themeFill="accent4" w:themeFillTint="33"/>
              </w:rPr>
              <w:fldChar w:fldCharType="end"/>
            </w:r>
            <w:r w:rsidR="00982ADD" w:rsidRPr="00BA38D5">
              <w:rPr>
                <w:rFonts w:asciiTheme="minorHAnsi" w:hAnsiTheme="minorHAnsi"/>
                <w:sz w:val="24"/>
                <w:lang w:val="es-MX"/>
              </w:rPr>
              <w:t xml:space="preserve"> </w:t>
            </w:r>
          </w:p>
          <w:p w:rsidR="00982ADD" w:rsidRPr="00BA38D5" w:rsidRDefault="00982ADD" w:rsidP="00283DD3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982ADD" w:rsidRPr="00BA38D5" w:rsidRDefault="00982ADD" w:rsidP="00283DD3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982ADD" w:rsidRPr="00BA38D5" w:rsidRDefault="00982ADD" w:rsidP="00982ADD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982ADD" w:rsidRPr="00BA38D5" w:rsidRDefault="00982ADD" w:rsidP="00982ADD">
      <w:pPr>
        <w:shd w:val="clear" w:color="auto" w:fill="FFFFFF" w:themeFill="background1"/>
        <w:spacing w:after="0" w:line="240" w:lineRule="auto"/>
        <w:ind w:right="-630"/>
        <w:rPr>
          <w:rFonts w:asciiTheme="minorHAnsi" w:hAnsiTheme="minorHAnsi"/>
          <w:b/>
          <w:bCs/>
          <w:shd w:val="clear" w:color="auto" w:fill="DEEAF6" w:themeFill="accent5" w:themeFillTint="33"/>
          <w:lang w:val="es-MX"/>
        </w:rPr>
      </w:pPr>
      <w:r w:rsidRPr="00BA38D5">
        <w:rPr>
          <w:rFonts w:asciiTheme="minorHAnsi" w:hAnsiTheme="minorHAnsi"/>
          <w:b/>
          <w:shd w:val="clear" w:color="auto" w:fill="FFE599" w:themeFill="accent4" w:themeFillTint="66"/>
          <w:lang w:val="es-MX"/>
        </w:rPr>
        <w:t>Completado por (nombre/credenciales)</w:t>
      </w:r>
      <w:r w:rsidRPr="00BA38D5">
        <w:rPr>
          <w:rFonts w:asciiTheme="minorHAnsi" w:hAnsiTheme="minorHAnsi"/>
          <w:b/>
          <w:shd w:val="clear" w:color="auto" w:fill="FFD966" w:themeFill="accent4" w:themeFillTint="99"/>
          <w:lang w:val="es-MX"/>
        </w:rPr>
        <w:t>:</w:t>
      </w:r>
      <w:r w:rsidRPr="00BA38D5">
        <w:rPr>
          <w:rFonts w:asciiTheme="minorHAnsi" w:hAnsiTheme="minorHAnsi"/>
          <w:b/>
          <w:shd w:val="clear" w:color="auto" w:fill="FFFFFF" w:themeFill="background1"/>
          <w:lang w:val="es-MX"/>
        </w:rPr>
        <w:t xml:space="preserve">     </w:t>
      </w:r>
      <w:sdt>
        <w:sdtPr>
          <w:rPr>
            <w:rFonts w:asciiTheme="minorHAnsi" w:hAnsiTheme="minorHAnsi"/>
            <w:b/>
            <w:bCs/>
            <w:color w:val="000000" w:themeColor="text1"/>
            <w:shd w:val="clear" w:color="auto" w:fill="DEEAF6" w:themeFill="accent5" w:themeFillTint="33"/>
          </w:rPr>
          <w:id w:val="-532962674"/>
          <w:placeholder>
            <w:docPart w:val="C32CC290B81C44B18BA7A753B271F9E5"/>
          </w:placeholder>
          <w:showingPlcHdr/>
          <w:text/>
        </w:sdtPr>
        <w:sdtEndPr/>
        <w:sdtContent>
          <w:r w:rsidRPr="00BA38D5">
            <w:rPr>
              <w:rStyle w:val="PlaceholderText"/>
              <w:color w:val="000000" w:themeColor="text1"/>
              <w:lang w:val="es-MX"/>
            </w:rPr>
            <w:t>Haga clic o toque aquí para introducir el texto.</w:t>
          </w:r>
        </w:sdtContent>
      </w:sdt>
      <w:r w:rsidRPr="00BA38D5">
        <w:rPr>
          <w:rFonts w:asciiTheme="minorHAnsi" w:hAnsiTheme="minorHAnsi"/>
          <w:b/>
          <w:shd w:val="clear" w:color="auto" w:fill="FFFFFF" w:themeFill="background1"/>
          <w:lang w:val="es-MX"/>
        </w:rPr>
        <w:t xml:space="preserve">                 </w:t>
      </w:r>
      <w:r w:rsidRPr="00BA38D5">
        <w:rPr>
          <w:rFonts w:asciiTheme="minorHAnsi" w:hAnsiTheme="minorHAnsi"/>
          <w:b/>
          <w:shd w:val="clear" w:color="auto" w:fill="FFE599" w:themeFill="accent4" w:themeFillTint="66"/>
          <w:lang w:val="es-MX"/>
        </w:rPr>
        <w:t xml:space="preserve">  Fecha:</w:t>
      </w:r>
      <w:r w:rsidRPr="00BA38D5">
        <w:rPr>
          <w:rFonts w:asciiTheme="minorHAnsi" w:hAnsiTheme="minorHAnsi"/>
          <w:b/>
          <w:shd w:val="clear" w:color="auto" w:fill="DEEAF6" w:themeFill="accent5" w:themeFillTint="33"/>
          <w:lang w:val="es-MX"/>
        </w:rPr>
        <w:t xml:space="preserve"> </w:t>
      </w:r>
      <w:sdt>
        <w:sdtPr>
          <w:rPr>
            <w:rFonts w:asciiTheme="minorHAnsi" w:hAnsiTheme="minorHAnsi"/>
            <w:b/>
            <w:bCs/>
            <w:shd w:val="clear" w:color="auto" w:fill="DEEAF6" w:themeFill="accent5" w:themeFillTint="33"/>
          </w:rPr>
          <w:id w:val="-2008359072"/>
          <w:placeholder>
            <w:docPart w:val="0F50DD0FC07043019F52112D6A79B2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A38D5">
            <w:rPr>
              <w:rStyle w:val="PlaceholderText"/>
              <w:lang w:val="es-MX"/>
            </w:rPr>
            <w:t>Haga clic o toque aquí para introducir una fecha.</w:t>
          </w:r>
        </w:sdtContent>
      </w:sdt>
    </w:p>
    <w:p w:rsidR="00982ADD" w:rsidRPr="002659EB" w:rsidRDefault="00982ADD" w:rsidP="00982AD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EEAF6" w:themeFill="accent5" w:themeFillTint="33"/>
          <w:lang w:val="es-MX"/>
        </w:rPr>
      </w:pPr>
      <w:r w:rsidRPr="00BA38D5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B13D3" wp14:editId="16C48209">
                <wp:simplePos x="0" y="0"/>
                <wp:positionH relativeFrom="column">
                  <wp:posOffset>427355</wp:posOffset>
                </wp:positionH>
                <wp:positionV relativeFrom="paragraph">
                  <wp:posOffset>139065</wp:posOffset>
                </wp:positionV>
                <wp:extent cx="6638925" cy="812165"/>
                <wp:effectExtent l="0" t="0" r="28575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121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DD" w:rsidRPr="002659EB" w:rsidRDefault="00982ADD" w:rsidP="00982A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659EB">
                              <w:rPr>
                                <w:b/>
                                <w:sz w:val="24"/>
                                <w:lang w:val="es-MX"/>
                              </w:rPr>
                              <w:t>¿PREGUNTAS?   Teléfono: 410.626.7805 ext. 116</w:t>
                            </w:r>
                          </w:p>
                          <w:p w:rsidR="00982ADD" w:rsidRPr="002659EB" w:rsidRDefault="00982ADD" w:rsidP="00982A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659EB">
                              <w:rPr>
                                <w:b/>
                                <w:sz w:val="24"/>
                                <w:lang w:val="es-MX"/>
                              </w:rPr>
                              <w:t>Por favor, devuelva el formulario completo de la Tabla de Planificación Educativa a la AIEF a:</w:t>
                            </w:r>
                          </w:p>
                          <w:p w:rsidR="00982ADD" w:rsidRPr="0044607E" w:rsidRDefault="00982ADD" w:rsidP="00982A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highlight w:val="yellow"/>
                              </w:rPr>
                              <w:t>CORREO-E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CE@forensicnurses.org</w:t>
                            </w:r>
                          </w:p>
                          <w:p w:rsidR="00982ADD" w:rsidRDefault="00982ADD" w:rsidP="00982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B1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65pt;margin-top:10.95pt;width:522.75pt;height:6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EoRQIAAIIEAAAOAAAAZHJzL2Uyb0RvYy54bWysVNuO2jAQfa/Uf7D8XgIsUIgIqy3brSpt&#10;L9JuP2DiOMSq7UltQ0K/vmMHKO2+Vc2D5RnbZ87Mmcn6tjeaHaTzCm3BJ6MxZ9IKrJTdFfzb88Ob&#10;JWc+gK1Ao5UFP0rPbzevX627NpdTbFBX0jECsT7v2oI3IbR5lnnRSAN+hK20dFijMxDIdLusctAR&#10;utHZdDxeZB26qnUopPfkvR8O+Sbh17UU4UtdexmYLjhxC2l1aS3jmm3WkO8ctI0SJxrwDywMKEtB&#10;L1D3EIDtnXoBZZRw6LEOI4Emw7pWQqYcKJvJ+K9snhpoZcqFiuPbS5n8/4MVnw9fHVNVwW84s2BI&#10;omfZB/YOezaN1elan9Olp5auhZ7cpHLK1LePKL57ZnHbgN3JO+ewayRUxG4SX2ZXTwccH0HK7hNW&#10;FAb2ARNQXzsTS0fFYIROKh0vykQqgpyLxc1yNZ1zJuhsOZlOFvMUAvLz69b58EGiYXFTcEfKJ3Q4&#10;PPoQ2UB+vhKDedSqelBaJyN2m9xqxw5AfQJCSBtm6bneG6I7+Bdj+oaOITf11eCend0UIvVtREoB&#10;/wiiLesKvppTFi8JuF15CR/hhjgR8JqnUYGGRStDNbhcgjwW/b2tUisHUHrY02NtTyrEwg8ShL7s&#10;T6qWWB1JD4fDUNAQ06ZB95Ozjgai4P7HHpzkTH+0pOlqMpvFCUrGbP52Soa7PimvT8AKgip44GzY&#10;bkOaupi6xTvSvlZJltgkA5MTV2r0VLzTUMZJurbTrd+/js0vAAAA//8DAFBLAwQUAAYACAAAACEA&#10;ZUk2xuMAAAAKAQAADwAAAGRycy9kb3ducmV2LnhtbEyPS0/DMBCE70j8B2uRuCDqJKVtGuJUtDwO&#10;SJXa8ji78ZJExOsodtvw79me4LajGc1+ky8G24oj9r5xpCAeRSCQSmcaqhS8vz3fpiB80GR06wgV&#10;/KCHRXF5kevMuBNt8bgLleAS8plWUIfQZVL6skar/ch1SOx9ud7qwLKvpOn1icttK5MomkqrG+IP&#10;te5wVWP5vTtYBenN6+oznYwns4+ntVk+vrjleuOUur4aHu5BBBzCXxjO+IwOBTPt3YGMF62C6WzM&#10;SQVJPAdx9uM44S17vu7mKcgil/8nFL8AAAD//wMAUEsBAi0AFAAGAAgAAAAhALaDOJL+AAAA4QEA&#10;ABMAAAAAAAAAAAAAAAAAAAAAAFtDb250ZW50X1R5cGVzXS54bWxQSwECLQAUAAYACAAAACEAOP0h&#10;/9YAAACUAQAACwAAAAAAAAAAAAAAAAAvAQAAX3JlbHMvLnJlbHNQSwECLQAUAAYACAAAACEARnkR&#10;KEUCAACCBAAADgAAAAAAAAAAAAAAAAAuAgAAZHJzL2Uyb0RvYy54bWxQSwECLQAUAAYACAAAACEA&#10;ZUk2xuMAAAAKAQAADwAAAAAAAAAAAAAAAACfBAAAZHJzL2Rvd25yZXYueG1sUEsFBgAAAAAEAAQA&#10;8wAAAK8FAAAAAA==&#10;" fillcolor="#ffd966 [1943]">
                <v:textbox>
                  <w:txbxContent>
                    <w:p w:rsidR="00982ADD" w:rsidRPr="002659EB" w:rsidRDefault="00982ADD" w:rsidP="00982AD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2659EB">
                        <w:rPr>
                          <w:b/>
                          <w:sz w:val="24"/>
                          <w:lang w:val="es-MX"/>
                        </w:rPr>
                        <w:t>¿PREGUNTAS?   Teléfono: 410.626.7805 ext. 116</w:t>
                      </w:r>
                    </w:p>
                    <w:p w:rsidR="00982ADD" w:rsidRPr="002659EB" w:rsidRDefault="00982ADD" w:rsidP="00982AD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2659EB">
                        <w:rPr>
                          <w:b/>
                          <w:sz w:val="24"/>
                          <w:lang w:val="es-MX"/>
                        </w:rPr>
                        <w:t>Por favor, devuelva el formulario completo de la Tabla de Planificación Educativa a la AIEF a:</w:t>
                      </w:r>
                    </w:p>
                    <w:p w:rsidR="00982ADD" w:rsidRPr="0044607E" w:rsidRDefault="00982ADD" w:rsidP="00982AD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highlight w:val="yellow"/>
                        </w:rPr>
                        <w:t>CORREO-E</w:t>
                      </w:r>
                      <w:r>
                        <w:rPr>
                          <w:b/>
                          <w:sz w:val="24"/>
                        </w:rPr>
                        <w:t>: CE@forensicnurses.org</w:t>
                      </w:r>
                    </w:p>
                    <w:p w:rsidR="00982ADD" w:rsidRDefault="00982ADD" w:rsidP="00982ADD"/>
                  </w:txbxContent>
                </v:textbox>
                <w10:wrap type="square"/>
              </v:shape>
            </w:pict>
          </mc:Fallback>
        </mc:AlternateContent>
      </w:r>
    </w:p>
    <w:p w:rsidR="00982ADD" w:rsidRPr="002659EB" w:rsidRDefault="00982ADD" w:rsidP="00982AD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lang w:val="es-MX"/>
        </w:rPr>
      </w:pPr>
    </w:p>
    <w:bookmarkEnd w:id="0"/>
    <w:p w:rsidR="00982ADD" w:rsidRPr="002659EB" w:rsidRDefault="00982ADD" w:rsidP="00982ADD">
      <w:pPr>
        <w:rPr>
          <w:lang w:val="es-MX"/>
        </w:rPr>
      </w:pPr>
    </w:p>
    <w:p w:rsidR="0043403A" w:rsidRPr="00982ADD" w:rsidRDefault="0043403A">
      <w:pPr>
        <w:rPr>
          <w:lang w:val="es-MX"/>
        </w:rPr>
      </w:pPr>
    </w:p>
    <w:sectPr w:rsidR="0043403A" w:rsidRPr="00982ADD" w:rsidSect="00A034BD">
      <w:headerReference w:type="default" r:id="rId13"/>
      <w:footerReference w:type="default" r:id="rId14"/>
      <w:type w:val="continuous"/>
      <w:pgSz w:w="15840" w:h="12240" w:orient="landscape"/>
      <w:pgMar w:top="1061" w:right="900" w:bottom="90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DE" w:rsidRDefault="006132DE">
      <w:pPr>
        <w:spacing w:after="0" w:line="240" w:lineRule="auto"/>
      </w:pPr>
      <w:r>
        <w:separator/>
      </w:r>
    </w:p>
  </w:endnote>
  <w:endnote w:type="continuationSeparator" w:id="0">
    <w:p w:rsidR="006132DE" w:rsidRDefault="0061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DB" w:rsidRDefault="00613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6029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025065054"/>
          <w:docPartObj>
            <w:docPartGallery w:val="Page Numbers (Top of Page)"/>
            <w:docPartUnique/>
          </w:docPartObj>
        </w:sdtPr>
        <w:sdtEndPr/>
        <w:sdtContent>
          <w:p w:rsidR="00BD3DDB" w:rsidRPr="00AD3CBC" w:rsidRDefault="00982ADD" w:rsidP="006448C2">
            <w:pPr>
              <w:pStyle w:val="Footer"/>
              <w:rPr>
                <w:rFonts w:asciiTheme="minorHAnsi" w:hAnsiTheme="minorHAnsi"/>
                <w:lang w:val="es-MX"/>
              </w:rPr>
            </w:pPr>
            <w:r w:rsidRPr="00AD3CBC">
              <w:rPr>
                <w:rFonts w:asciiTheme="minorHAnsi" w:hAnsiTheme="minorHAnsi"/>
                <w:lang w:val="es-MX"/>
              </w:rPr>
              <w:t>Aplicación de la IAFN para la provisión de actividades individuales Tabla de Planificación Educativa - Material en vivo y en diferido REV ANCC 6.27.17      2020</w:t>
            </w:r>
          </w:p>
          <w:p w:rsidR="00BD3DDB" w:rsidRPr="00A73D9C" w:rsidRDefault="00982ADD" w:rsidP="006448C2">
            <w:pPr>
              <w:pStyle w:val="Footer"/>
              <w:jc w:val="right"/>
              <w:rPr>
                <w:rFonts w:asciiTheme="minorHAnsi" w:hAnsiTheme="minorHAnsi"/>
              </w:rPr>
            </w:pPr>
            <w:r w:rsidRPr="00AD3CBC">
              <w:rPr>
                <w:rFonts w:asciiTheme="minorHAnsi" w:hAnsiTheme="minorHAnsi"/>
              </w:rPr>
              <w:t xml:space="preserve">Página </w:t>
            </w:r>
            <w:r w:rsidRPr="00AD3CBC">
              <w:rPr>
                <w:rFonts w:asciiTheme="minorHAnsi" w:hAnsiTheme="minorHAnsi"/>
                <w:b/>
                <w:sz w:val="24"/>
              </w:rPr>
              <w:fldChar w:fldCharType="begin"/>
            </w:r>
            <w:r w:rsidRPr="00AD3CBC">
              <w:rPr>
                <w:rFonts w:asciiTheme="minorHAnsi" w:hAnsiTheme="minorHAnsi"/>
                <w:b/>
              </w:rPr>
              <w:instrText xml:space="preserve"> PAGE </w:instrText>
            </w:r>
            <w:r w:rsidRPr="00AD3CBC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Pr="00AD3CBC">
              <w:rPr>
                <w:rFonts w:asciiTheme="minorHAnsi" w:hAnsiTheme="minorHAnsi"/>
                <w:b/>
              </w:rPr>
              <w:t>2</w:t>
            </w:r>
            <w:r w:rsidRPr="00AD3CBC">
              <w:rPr>
                <w:rFonts w:asciiTheme="minorHAnsi" w:hAnsiTheme="minorHAnsi"/>
                <w:b/>
                <w:sz w:val="24"/>
              </w:rPr>
              <w:fldChar w:fldCharType="end"/>
            </w:r>
            <w:r w:rsidRPr="00AD3CBC">
              <w:rPr>
                <w:rFonts w:asciiTheme="minorHAnsi" w:hAnsiTheme="minorHAnsi"/>
              </w:rPr>
              <w:t xml:space="preserve"> de </w:t>
            </w:r>
            <w:r w:rsidRPr="00AD3CBC">
              <w:rPr>
                <w:rFonts w:asciiTheme="minorHAnsi" w:hAnsiTheme="minorHAnsi"/>
                <w:b/>
                <w:sz w:val="24"/>
              </w:rPr>
              <w:fldChar w:fldCharType="begin"/>
            </w:r>
            <w:r w:rsidRPr="00AD3CBC">
              <w:rPr>
                <w:rFonts w:asciiTheme="minorHAnsi" w:hAnsiTheme="minorHAnsi"/>
                <w:b/>
              </w:rPr>
              <w:instrText xml:space="preserve"> NUMPAGES  </w:instrText>
            </w:r>
            <w:r w:rsidRPr="00AD3CBC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Pr="00AD3CBC">
              <w:rPr>
                <w:rFonts w:asciiTheme="minorHAnsi" w:hAnsiTheme="minorHAnsi"/>
                <w:b/>
              </w:rPr>
              <w:t>3</w:t>
            </w:r>
            <w:r w:rsidRPr="00AD3CBC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sdtContent>
      </w:sdt>
    </w:sdtContent>
  </w:sdt>
  <w:p w:rsidR="00BD3DDB" w:rsidRPr="00A73D9C" w:rsidRDefault="006132DE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DB" w:rsidRDefault="006132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:rsidR="00BD3DDB" w:rsidRPr="002659EB" w:rsidRDefault="00982ADD" w:rsidP="00A034BD">
            <w:pPr>
              <w:pStyle w:val="Footer"/>
              <w:rPr>
                <w:rFonts w:asciiTheme="minorHAnsi" w:hAnsiTheme="minorHAnsi"/>
                <w:lang w:val="es-MX"/>
              </w:rPr>
            </w:pPr>
            <w:r w:rsidRPr="002659EB">
              <w:rPr>
                <w:rFonts w:asciiTheme="minorHAnsi" w:hAnsiTheme="minorHAnsi"/>
                <w:lang w:val="es-MX"/>
              </w:rPr>
              <w:t xml:space="preserve">Aplicación de la IAFN para la provisión de actividades individuales Tabla de Planificación Educativa - Material en vivo y en diferido </w:t>
            </w:r>
            <w:r w:rsidRPr="002659EB">
              <w:rPr>
                <w:rFonts w:asciiTheme="minorHAnsi" w:hAnsiTheme="minorHAnsi"/>
                <w:highlight w:val="yellow"/>
                <w:lang w:val="es-MX"/>
              </w:rPr>
              <w:t>REV ANCC 6.27.17      2020</w:t>
            </w:r>
          </w:p>
          <w:p w:rsidR="00BD3DDB" w:rsidRPr="00A73D9C" w:rsidRDefault="00982ADD" w:rsidP="00A034BD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Página </w:t>
            </w:r>
            <w:r w:rsidRPr="00A73D9C">
              <w:rPr>
                <w:rFonts w:asciiTheme="minorHAnsi" w:hAnsiTheme="minorHAnsi"/>
                <w:b/>
                <w:sz w:val="24"/>
              </w:rPr>
              <w:fldChar w:fldCharType="begin"/>
            </w:r>
            <w:r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Pr="00A73D9C">
              <w:rPr>
                <w:rFonts w:asciiTheme="minorHAnsi" w:hAnsiTheme="minorHAnsi"/>
                <w:b/>
                <w:sz w:val="24"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t>2</w:t>
            </w:r>
            <w:r w:rsidRPr="00A73D9C">
              <w:rPr>
                <w:rFonts w:asciiTheme="minorHAnsi" w:hAnsiTheme="minorHAnsi"/>
                <w:b/>
                <w:sz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de </w:t>
            </w:r>
            <w:r w:rsidRPr="00A73D9C">
              <w:rPr>
                <w:rFonts w:asciiTheme="minorHAnsi" w:hAnsiTheme="minorHAnsi"/>
                <w:b/>
                <w:sz w:val="24"/>
              </w:rPr>
              <w:fldChar w:fldCharType="begin"/>
            </w:r>
            <w:r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Pr="00A73D9C">
              <w:rPr>
                <w:rFonts w:asciiTheme="minorHAnsi" w:hAnsiTheme="minorHAnsi"/>
                <w:b/>
                <w:sz w:val="24"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t>3</w:t>
            </w:r>
            <w:r w:rsidRPr="00A73D9C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sdtContent>
      </w:sdt>
    </w:sdtContent>
  </w:sdt>
  <w:p w:rsidR="00BD3DDB" w:rsidRPr="00A73D9C" w:rsidRDefault="006132DE">
    <w:pPr>
      <w:pStyle w:val="Footer"/>
      <w:rPr>
        <w:rFonts w:asciiTheme="minorHAnsi" w:hAnsiTheme="minorHAnsi"/>
      </w:rPr>
    </w:pPr>
  </w:p>
  <w:p w:rsidR="00BD3DDB" w:rsidRDefault="006132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DE" w:rsidRDefault="006132DE">
      <w:pPr>
        <w:spacing w:after="0" w:line="240" w:lineRule="auto"/>
      </w:pPr>
      <w:r>
        <w:separator/>
      </w:r>
    </w:p>
  </w:footnote>
  <w:footnote w:type="continuationSeparator" w:id="0">
    <w:p w:rsidR="006132DE" w:rsidRDefault="0061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DB" w:rsidRDefault="00613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DB" w:rsidRPr="002659EB" w:rsidRDefault="00982ADD" w:rsidP="006448C2">
    <w:pPr>
      <w:pStyle w:val="Header"/>
      <w:shd w:val="clear" w:color="auto" w:fill="FFD966" w:themeFill="accent4" w:themeFillTint="99"/>
      <w:spacing w:line="276" w:lineRule="auto"/>
      <w:ind w:left="-450" w:right="-180"/>
      <w:jc w:val="center"/>
      <w:rPr>
        <w:rFonts w:asciiTheme="minorHAnsi" w:hAnsiTheme="minorHAnsi"/>
        <w:color w:val="BF8F00" w:themeColor="accent4" w:themeShade="BF"/>
        <w:sz w:val="28"/>
        <w:szCs w:val="28"/>
        <w:lang w:val="es-MX"/>
      </w:rPr>
    </w:pPr>
    <w:r w:rsidRPr="002659EB">
      <w:rPr>
        <w:rFonts w:asciiTheme="minorHAnsi" w:hAnsiTheme="minorHAnsi"/>
        <w:b/>
        <w:color w:val="BF8F00" w:themeColor="accent4" w:themeShade="BF"/>
        <w:sz w:val="28"/>
        <w:lang w:val="es-MX"/>
      </w:rPr>
      <w:t>ASOCIACIÓN INTERNACIONAL DE ENFERMERAS FORENSES</w:t>
    </w:r>
  </w:p>
  <w:p w:rsidR="00BD3DDB" w:rsidRPr="002659EB" w:rsidRDefault="00982ADD" w:rsidP="006448C2">
    <w:pPr>
      <w:pStyle w:val="Header"/>
      <w:shd w:val="clear" w:color="auto" w:fill="FFD966" w:themeFill="accent4" w:themeFillTint="99"/>
      <w:spacing w:line="276" w:lineRule="auto"/>
      <w:ind w:left="-450" w:right="-180"/>
      <w:jc w:val="center"/>
      <w:rPr>
        <w:rFonts w:asciiTheme="minorHAnsi" w:hAnsiTheme="minorHAnsi"/>
        <w:sz w:val="28"/>
        <w:szCs w:val="28"/>
        <w:lang w:val="es-MX"/>
      </w:rPr>
    </w:pPr>
    <w:r w:rsidRPr="002659EB">
      <w:rPr>
        <w:rFonts w:asciiTheme="minorHAnsi" w:hAnsiTheme="minorHAnsi"/>
        <w:sz w:val="28"/>
        <w:lang w:val="es-MX"/>
      </w:rPr>
      <w:t xml:space="preserve">Tabla de Planificación Educativa - Material en vivo y en diferido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DB" w:rsidRDefault="006132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DB" w:rsidRPr="002659EB" w:rsidRDefault="00982ADD" w:rsidP="00A034BD">
    <w:pPr>
      <w:pStyle w:val="Header"/>
      <w:shd w:val="clear" w:color="auto" w:fill="FFD966" w:themeFill="accent4" w:themeFillTint="99"/>
      <w:spacing w:line="276" w:lineRule="auto"/>
      <w:ind w:left="-450" w:right="-180"/>
      <w:jc w:val="center"/>
      <w:rPr>
        <w:rFonts w:asciiTheme="minorHAnsi" w:hAnsiTheme="minorHAnsi"/>
        <w:color w:val="BF8F00" w:themeColor="accent4" w:themeShade="BF"/>
        <w:sz w:val="28"/>
        <w:szCs w:val="28"/>
        <w:lang w:val="es-MX"/>
      </w:rPr>
    </w:pPr>
    <w:r w:rsidRPr="002659EB">
      <w:rPr>
        <w:rFonts w:asciiTheme="minorHAnsi" w:hAnsiTheme="minorHAnsi"/>
        <w:b/>
        <w:color w:val="BF8F00" w:themeColor="accent4" w:themeShade="BF"/>
        <w:sz w:val="28"/>
        <w:lang w:val="es-MX"/>
      </w:rPr>
      <w:t>ASOCIACIÓN INTERNACIONAL DE ENFERMERAS FORENSES</w:t>
    </w:r>
  </w:p>
  <w:p w:rsidR="00BD3DDB" w:rsidRPr="002659EB" w:rsidRDefault="00982ADD" w:rsidP="00A034BD">
    <w:pPr>
      <w:pStyle w:val="Header"/>
      <w:shd w:val="clear" w:color="auto" w:fill="FFD966" w:themeFill="accent4" w:themeFillTint="99"/>
      <w:spacing w:line="276" w:lineRule="auto"/>
      <w:ind w:left="-450" w:right="-180"/>
      <w:jc w:val="center"/>
      <w:rPr>
        <w:rFonts w:asciiTheme="minorHAnsi" w:hAnsiTheme="minorHAnsi"/>
        <w:sz w:val="28"/>
        <w:szCs w:val="28"/>
        <w:lang w:val="es-MX"/>
      </w:rPr>
    </w:pPr>
    <w:r w:rsidRPr="002659EB">
      <w:rPr>
        <w:rFonts w:asciiTheme="minorHAnsi" w:hAnsiTheme="minorHAnsi"/>
        <w:sz w:val="28"/>
        <w:lang w:val="es-MX"/>
      </w:rPr>
      <w:t xml:space="preserve">Tabla de Planificación Educativa - Material en vivo y en diferido </w:t>
    </w:r>
  </w:p>
  <w:p w:rsidR="00BD3DDB" w:rsidRPr="002659EB" w:rsidRDefault="006132DE"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98D"/>
    <w:multiLevelType w:val="hybridMultilevel"/>
    <w:tmpl w:val="406E0B36"/>
    <w:lvl w:ilvl="0" w:tplc="06C64764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3965062"/>
    <w:multiLevelType w:val="multilevel"/>
    <w:tmpl w:val="E584C08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" w15:restartNumberingAfterBreak="0">
    <w:nsid w:val="05BC2D78"/>
    <w:multiLevelType w:val="hybridMultilevel"/>
    <w:tmpl w:val="A84018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27C86942">
      <w:start w:val="1"/>
      <w:numFmt w:val="lowerRoman"/>
      <w:lvlText w:val="%6."/>
      <w:lvlJc w:val="left"/>
      <w:pPr>
        <w:ind w:left="576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840944"/>
    <w:multiLevelType w:val="hybridMultilevel"/>
    <w:tmpl w:val="2C9CC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F54699"/>
    <w:multiLevelType w:val="hybridMultilevel"/>
    <w:tmpl w:val="29D06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838"/>
    <w:multiLevelType w:val="hybridMultilevel"/>
    <w:tmpl w:val="EFBC8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91B"/>
    <w:multiLevelType w:val="hybridMultilevel"/>
    <w:tmpl w:val="BB5C7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6E86"/>
    <w:multiLevelType w:val="multilevel"/>
    <w:tmpl w:val="C99E38B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8" w15:restartNumberingAfterBreak="0">
    <w:nsid w:val="1F925267"/>
    <w:multiLevelType w:val="multilevel"/>
    <w:tmpl w:val="0044B37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9" w15:restartNumberingAfterBreak="0">
    <w:nsid w:val="25030F99"/>
    <w:multiLevelType w:val="hybridMultilevel"/>
    <w:tmpl w:val="7BCCB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14CF7E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F84"/>
    <w:multiLevelType w:val="hybridMultilevel"/>
    <w:tmpl w:val="BD48EA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ECB80828">
      <w:start w:val="1"/>
      <w:numFmt w:val="upperLetter"/>
      <w:lvlText w:val="%2."/>
      <w:lvlJc w:val="left"/>
      <w:pPr>
        <w:ind w:left="216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D23CC34C">
      <w:start w:val="25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93BDE"/>
    <w:multiLevelType w:val="multilevel"/>
    <w:tmpl w:val="C3FE7EC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12" w15:restartNumberingAfterBreak="0">
    <w:nsid w:val="2C600F3C"/>
    <w:multiLevelType w:val="hybridMultilevel"/>
    <w:tmpl w:val="9790E138"/>
    <w:lvl w:ilvl="0" w:tplc="66BA74B0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342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414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486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32B50170"/>
    <w:multiLevelType w:val="hybridMultilevel"/>
    <w:tmpl w:val="A8C07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6CDB"/>
    <w:multiLevelType w:val="hybridMultilevel"/>
    <w:tmpl w:val="9AC8968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CB41889"/>
    <w:multiLevelType w:val="hybridMultilevel"/>
    <w:tmpl w:val="2F3A2C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75738C"/>
    <w:multiLevelType w:val="multilevel"/>
    <w:tmpl w:val="48CAFA12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7" w15:restartNumberingAfterBreak="0">
    <w:nsid w:val="42A86AB6"/>
    <w:multiLevelType w:val="hybridMultilevel"/>
    <w:tmpl w:val="1F683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4A87"/>
    <w:multiLevelType w:val="hybridMultilevel"/>
    <w:tmpl w:val="D47640D0"/>
    <w:lvl w:ilvl="0" w:tplc="50CE740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40D2"/>
    <w:multiLevelType w:val="hybridMultilevel"/>
    <w:tmpl w:val="0D9C6B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5603F2"/>
    <w:multiLevelType w:val="hybridMultilevel"/>
    <w:tmpl w:val="2C96F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85CE5"/>
    <w:multiLevelType w:val="multilevel"/>
    <w:tmpl w:val="27AA1A26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lowerRoman"/>
      <w:lvlText w:val="%2."/>
      <w:lvlJc w:val="right"/>
      <w:pPr>
        <w:ind w:left="1080" w:firstLine="720"/>
      </w:p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2" w15:restartNumberingAfterBreak="0">
    <w:nsid w:val="49587A6B"/>
    <w:multiLevelType w:val="multilevel"/>
    <w:tmpl w:val="36FE085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3" w15:restartNumberingAfterBreak="0">
    <w:nsid w:val="4B815D80"/>
    <w:multiLevelType w:val="hybridMultilevel"/>
    <w:tmpl w:val="55A054D8"/>
    <w:lvl w:ilvl="0" w:tplc="33F809E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C1E6DB3"/>
    <w:multiLevelType w:val="multilevel"/>
    <w:tmpl w:val="4810EE4A"/>
    <w:lvl w:ilvl="0">
      <w:start w:val="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5" w15:restartNumberingAfterBreak="0">
    <w:nsid w:val="500C295D"/>
    <w:multiLevelType w:val="hybridMultilevel"/>
    <w:tmpl w:val="17E2C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47F9D"/>
    <w:multiLevelType w:val="hybridMultilevel"/>
    <w:tmpl w:val="BB1800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505AED26">
      <w:start w:val="1"/>
      <w:numFmt w:val="decimal"/>
      <w:lvlText w:val="%3."/>
      <w:lvlJc w:val="left"/>
      <w:pPr>
        <w:ind w:left="288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0113F0"/>
    <w:multiLevelType w:val="multilevel"/>
    <w:tmpl w:val="351E0EDA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upperLetter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8" w15:restartNumberingAfterBreak="0">
    <w:nsid w:val="5DF30234"/>
    <w:multiLevelType w:val="hybridMultilevel"/>
    <w:tmpl w:val="5894AF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305"/>
    <w:multiLevelType w:val="hybridMultilevel"/>
    <w:tmpl w:val="D7F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E104A"/>
    <w:multiLevelType w:val="hybridMultilevel"/>
    <w:tmpl w:val="36B8BC56"/>
    <w:lvl w:ilvl="0" w:tplc="8D5CA94E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36125"/>
    <w:multiLevelType w:val="hybridMultilevel"/>
    <w:tmpl w:val="24D8C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5756"/>
    <w:multiLevelType w:val="hybridMultilevel"/>
    <w:tmpl w:val="EB9ECA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CE0408B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1135"/>
    <w:multiLevelType w:val="multilevel"/>
    <w:tmpl w:val="0044B374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upperLetter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-18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4" w15:restartNumberingAfterBreak="0">
    <w:nsid w:val="684C0BA7"/>
    <w:multiLevelType w:val="multilevel"/>
    <w:tmpl w:val="50625130"/>
    <w:lvl w:ilvl="0">
      <w:start w:val="1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35" w15:restartNumberingAfterBreak="0">
    <w:nsid w:val="6F4D1A03"/>
    <w:multiLevelType w:val="multilevel"/>
    <w:tmpl w:val="4E441AAC"/>
    <w:lvl w:ilvl="0">
      <w:start w:val="1"/>
      <w:numFmt w:val="upperLetter"/>
      <w:lvlText w:val="%1."/>
      <w:lvlJc w:val="left"/>
      <w:pPr>
        <w:ind w:left="1080" w:firstLine="720"/>
      </w:pPr>
      <w:rPr>
        <w:b w:val="0"/>
      </w:rPr>
    </w:lvl>
    <w:lvl w:ilvl="1">
      <w:start w:val="1"/>
      <w:numFmt w:val="decimal"/>
      <w:lvlText w:val="%2."/>
      <w:lvlJc w:val="left"/>
      <w:pPr>
        <w:ind w:left="990" w:firstLine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6" w15:restartNumberingAfterBreak="0">
    <w:nsid w:val="72BF6063"/>
    <w:multiLevelType w:val="hybridMultilevel"/>
    <w:tmpl w:val="2C5ABF3A"/>
    <w:lvl w:ilvl="0" w:tplc="66BA74B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108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180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8BA60216">
      <w:start w:val="60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FF5176"/>
    <w:multiLevelType w:val="hybridMultilevel"/>
    <w:tmpl w:val="BF18B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91CE9"/>
    <w:multiLevelType w:val="hybridMultilevel"/>
    <w:tmpl w:val="9480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34BB1"/>
    <w:multiLevelType w:val="multilevel"/>
    <w:tmpl w:val="100AA914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decimal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35"/>
  </w:num>
  <w:num w:numId="2">
    <w:abstractNumId w:val="11"/>
  </w:num>
  <w:num w:numId="3">
    <w:abstractNumId w:val="29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27"/>
  </w:num>
  <w:num w:numId="9">
    <w:abstractNumId w:val="24"/>
  </w:num>
  <w:num w:numId="10">
    <w:abstractNumId w:val="39"/>
  </w:num>
  <w:num w:numId="11">
    <w:abstractNumId w:val="3"/>
  </w:num>
  <w:num w:numId="12">
    <w:abstractNumId w:val="30"/>
  </w:num>
  <w:num w:numId="13">
    <w:abstractNumId w:val="17"/>
  </w:num>
  <w:num w:numId="14">
    <w:abstractNumId w:val="20"/>
  </w:num>
  <w:num w:numId="15">
    <w:abstractNumId w:val="14"/>
  </w:num>
  <w:num w:numId="16">
    <w:abstractNumId w:val="25"/>
  </w:num>
  <w:num w:numId="17">
    <w:abstractNumId w:val="23"/>
  </w:num>
  <w:num w:numId="18">
    <w:abstractNumId w:val="13"/>
  </w:num>
  <w:num w:numId="19">
    <w:abstractNumId w:val="8"/>
  </w:num>
  <w:num w:numId="20">
    <w:abstractNumId w:val="6"/>
  </w:num>
  <w:num w:numId="21">
    <w:abstractNumId w:val="5"/>
  </w:num>
  <w:num w:numId="22">
    <w:abstractNumId w:val="37"/>
  </w:num>
  <w:num w:numId="23">
    <w:abstractNumId w:val="4"/>
  </w:num>
  <w:num w:numId="24">
    <w:abstractNumId w:val="12"/>
  </w:num>
  <w:num w:numId="25">
    <w:abstractNumId w:val="1"/>
  </w:num>
  <w:num w:numId="26">
    <w:abstractNumId w:val="7"/>
  </w:num>
  <w:num w:numId="27">
    <w:abstractNumId w:val="9"/>
  </w:num>
  <w:num w:numId="28">
    <w:abstractNumId w:val="21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2"/>
  </w:num>
  <w:num w:numId="33">
    <w:abstractNumId w:val="22"/>
  </w:num>
  <w:num w:numId="34">
    <w:abstractNumId w:val="33"/>
  </w:num>
  <w:num w:numId="35">
    <w:abstractNumId w:val="18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8"/>
  </w:num>
  <w:num w:numId="39">
    <w:abstractNumId w:val="2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DD"/>
    <w:rsid w:val="00381743"/>
    <w:rsid w:val="0043403A"/>
    <w:rsid w:val="00491AB3"/>
    <w:rsid w:val="006132DE"/>
    <w:rsid w:val="009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07A42-6396-4125-881C-871BF08C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ADD"/>
    <w:pPr>
      <w:spacing w:after="200" w:line="276" w:lineRule="auto"/>
    </w:pPr>
    <w:rPr>
      <w:rFonts w:ascii="Calibri" w:eastAsia="Times New Roman" w:hAnsi="Calibri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rsid w:val="00982ADD"/>
    <w:pPr>
      <w:keepNext/>
      <w:keepLines/>
      <w:spacing w:before="240" w:after="60" w:line="240" w:lineRule="auto"/>
      <w:outlineLvl w:val="0"/>
    </w:pPr>
    <w:rPr>
      <w:rFonts w:ascii="Cambria" w:eastAsia="Cambria" w:hAnsi="Cambria" w:cs="Cambria"/>
      <w:b/>
      <w:color w:val="000000"/>
      <w:sz w:val="3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2ADD"/>
    <w:rPr>
      <w:rFonts w:ascii="Cambria" w:eastAsia="Cambria" w:hAnsi="Cambria" w:cs="Cambria"/>
      <w:b/>
      <w:color w:val="000000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DD"/>
    <w:rPr>
      <w:rFonts w:ascii="Calibri" w:eastAsia="Times New Roman" w:hAnsi="Calibri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DD"/>
    <w:rPr>
      <w:rFonts w:ascii="Calibri" w:eastAsia="Times New Roman" w:hAnsi="Calibri" w:cs="Times New Roman"/>
      <w:sz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DD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82A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2A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82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ADD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ADD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982ADD"/>
    <w:pPr>
      <w:spacing w:after="160" w:line="256" w:lineRule="auto"/>
      <w:ind w:left="720"/>
      <w:contextualSpacing/>
    </w:pPr>
    <w:rPr>
      <w:rFonts w:ascii="Cambria" w:eastAsia="Cambria" w:hAnsi="Cambria"/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2ADD"/>
  </w:style>
  <w:style w:type="table" w:styleId="TableGrid">
    <w:name w:val="Table Grid"/>
    <w:basedOn w:val="TableNormal"/>
    <w:uiPriority w:val="59"/>
    <w:rsid w:val="00982AD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82AD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2ADD"/>
    <w:pPr>
      <w:spacing w:after="0" w:line="240" w:lineRule="auto"/>
    </w:pPr>
    <w:rPr>
      <w:rFonts w:ascii="Calibri" w:eastAsia="Times New Roman" w:hAnsi="Calibri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155C609651405C9B9D70FB9CFBE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03D0-F902-4CC6-81C3-8EBDF811FC44}"/>
      </w:docPartPr>
      <w:docPartBody>
        <w:p w:rsidR="0045270D" w:rsidRDefault="009E5777" w:rsidP="009E5777">
          <w:pPr>
            <w:pStyle w:val="E5155C609651405C9B9D70FB9CFBEA96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0CB9A892BB9B4CA2A6D787A1F7C1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4C2D-0A05-4157-A210-E8B330908C03}"/>
      </w:docPartPr>
      <w:docPartBody>
        <w:p w:rsidR="0045270D" w:rsidRDefault="009E5777" w:rsidP="009E5777">
          <w:pPr>
            <w:pStyle w:val="0CB9A892BB9B4CA2A6D787A1F7C1282D"/>
          </w:pPr>
          <w:r>
            <w:rPr>
              <w:rStyle w:val="PlaceholderText"/>
            </w:rPr>
            <w:t>Haga click aquí para añadir texto.</w:t>
          </w:r>
        </w:p>
      </w:docPartBody>
    </w:docPart>
    <w:docPart>
      <w:docPartPr>
        <w:name w:val="3FF6E13DF42E47229E5778F8EC66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AEE8-D1CC-4F22-BEFE-C9EF710F08A1}"/>
      </w:docPartPr>
      <w:docPartBody>
        <w:p w:rsidR="0045270D" w:rsidRDefault="009E5777" w:rsidP="009E5777">
          <w:pPr>
            <w:pStyle w:val="3FF6E13DF42E47229E5778F8EC6629C2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63C5387F70D34E78A1548006D6AF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AC2B-39A0-4EBE-BFF2-7DF3974937AA}"/>
      </w:docPartPr>
      <w:docPartBody>
        <w:p w:rsidR="0045270D" w:rsidRDefault="009E5777" w:rsidP="009E5777">
          <w:pPr>
            <w:pStyle w:val="63C5387F70D34E78A1548006D6AFA42D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9C9122485B8A4C66949A2D3F1C36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87FF-CA76-4DA2-B38C-DE10D43045E9}"/>
      </w:docPartPr>
      <w:docPartBody>
        <w:p w:rsidR="0045270D" w:rsidRDefault="009E5777" w:rsidP="009E5777">
          <w:pPr>
            <w:pStyle w:val="9C9122485B8A4C66949A2D3F1C363CF8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2A6E2B49DB73467A83A50009052C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2742-2656-4FC2-BCAA-EF47F9B576A8}"/>
      </w:docPartPr>
      <w:docPartBody>
        <w:p w:rsidR="0045270D" w:rsidRDefault="009E5777" w:rsidP="009E5777">
          <w:pPr>
            <w:pStyle w:val="2A6E2B49DB73467A83A50009052C5518"/>
          </w:pPr>
          <w:r>
            <w:rPr>
              <w:rStyle w:val="PlaceholderText"/>
            </w:rPr>
            <w:t>Haga click aquí para añadir texto.</w:t>
          </w:r>
        </w:p>
      </w:docPartBody>
    </w:docPart>
    <w:docPart>
      <w:docPartPr>
        <w:name w:val="CBB629FDEDB04FD094BC5A8F2D08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4EF1-1C9B-4B63-99A4-C524E25F9E68}"/>
      </w:docPartPr>
      <w:docPartBody>
        <w:p w:rsidR="0045270D" w:rsidRDefault="009E5777" w:rsidP="009E5777">
          <w:pPr>
            <w:pStyle w:val="CBB629FDEDB04FD094BC5A8F2D08E4A6"/>
          </w:pPr>
          <w:r>
            <w:rPr>
              <w:rStyle w:val="PlaceholderText"/>
            </w:rPr>
            <w:t>Haga click aquí para añadir texto.</w:t>
          </w:r>
        </w:p>
      </w:docPartBody>
    </w:docPart>
    <w:docPart>
      <w:docPartPr>
        <w:name w:val="02826A204FB14512A75275DD9233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6EA3-B3F3-4D94-83EC-6ACC3C11FCEC}"/>
      </w:docPartPr>
      <w:docPartBody>
        <w:p w:rsidR="0045270D" w:rsidRDefault="009E5777" w:rsidP="009E5777">
          <w:pPr>
            <w:pStyle w:val="02826A204FB14512A75275DD92332ADB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71B07DE12A424E4883DDC6381F2E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2363-E7CA-47C8-85F7-B3DB3373DF92}"/>
      </w:docPartPr>
      <w:docPartBody>
        <w:p w:rsidR="0045270D" w:rsidRDefault="009E5777" w:rsidP="009E5777">
          <w:pPr>
            <w:pStyle w:val="71B07DE12A424E4883DDC6381F2EB861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2AD015EAB46C474FA0C4E75E5391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C77AC-5C03-44F6-AC51-113AD57C764D}"/>
      </w:docPartPr>
      <w:docPartBody>
        <w:p w:rsidR="0045270D" w:rsidRDefault="009E5777" w:rsidP="009E5777">
          <w:pPr>
            <w:pStyle w:val="2AD015EAB46C474FA0C4E75E5391385F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72F0174F6CCA46D2B659B1721126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EF5A-5EDE-4B68-9B7E-8517E421FC3E}"/>
      </w:docPartPr>
      <w:docPartBody>
        <w:p w:rsidR="0045270D" w:rsidRDefault="009E5777" w:rsidP="009E5777">
          <w:pPr>
            <w:pStyle w:val="72F0174F6CCA46D2B659B1721126355D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DD62FF2B31604583B261321ECF4B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923D-F47A-4502-8E51-95ADD64D072C}"/>
      </w:docPartPr>
      <w:docPartBody>
        <w:p w:rsidR="0045270D" w:rsidRDefault="009E5777" w:rsidP="009E5777">
          <w:pPr>
            <w:pStyle w:val="DD62FF2B31604583B261321ECF4BEF05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A92A4879808644C2B6FC9366348E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65EB-9389-44F3-BC4E-D4EAE50A2C15}"/>
      </w:docPartPr>
      <w:docPartBody>
        <w:p w:rsidR="0045270D" w:rsidRDefault="009E5777" w:rsidP="009E5777">
          <w:pPr>
            <w:pStyle w:val="A92A4879808644C2B6FC9366348ECC91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CCCDA73909E84D4E948C43E71438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E0C5-541A-4C8A-9C90-9975067A3BD4}"/>
      </w:docPartPr>
      <w:docPartBody>
        <w:p w:rsidR="0045270D" w:rsidRDefault="009E5777" w:rsidP="009E5777">
          <w:pPr>
            <w:pStyle w:val="CCCDA73909E84D4E948C43E7143801CA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6DF6A67D4ADF4D5EAE2DB9AA1461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C7A6-A78D-4B05-8C4B-42E07B4CF1F8}"/>
      </w:docPartPr>
      <w:docPartBody>
        <w:p w:rsidR="0045270D" w:rsidRDefault="009E5777" w:rsidP="009E5777">
          <w:pPr>
            <w:pStyle w:val="6DF6A67D4ADF4D5EAE2DB9AA1461F88D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4319C5BD73284038A4AC473C87D0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A08B-AF00-4EA9-95E9-C95B99FB632D}"/>
      </w:docPartPr>
      <w:docPartBody>
        <w:p w:rsidR="0045270D" w:rsidRDefault="009E5777" w:rsidP="009E5777">
          <w:pPr>
            <w:pStyle w:val="4319C5BD73284038A4AC473C87D088A0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FA088A048F344E5DB6BF51222DF9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6318-3E75-4ED2-8916-B0BD18243C9A}"/>
      </w:docPartPr>
      <w:docPartBody>
        <w:p w:rsidR="0045270D" w:rsidRDefault="009E5777" w:rsidP="009E5777">
          <w:pPr>
            <w:pStyle w:val="FA088A048F344E5DB6BF51222DF9C10A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4CA63666A668424D9EBBD7B14CAFC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9E3A-A654-43E3-9BF3-E2F348FF9A26}"/>
      </w:docPartPr>
      <w:docPartBody>
        <w:p w:rsidR="0045270D" w:rsidRDefault="009E5777" w:rsidP="009E5777">
          <w:pPr>
            <w:pStyle w:val="4CA63666A668424D9EBBD7B14CAFCFDB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854E5BC76FA94A3699A1FA0D9087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18C5-429E-49A6-A369-B5875BF5F647}"/>
      </w:docPartPr>
      <w:docPartBody>
        <w:p w:rsidR="0045270D" w:rsidRDefault="009E5777" w:rsidP="009E5777">
          <w:pPr>
            <w:pStyle w:val="854E5BC76FA94A3699A1FA0D908763C9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D0EAC3B4B15E48A2B8B8B9B6D0C6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4A79-76D7-4B88-80E6-5B7088270A08}"/>
      </w:docPartPr>
      <w:docPartBody>
        <w:p w:rsidR="0045270D" w:rsidRDefault="009E5777" w:rsidP="009E5777">
          <w:pPr>
            <w:pStyle w:val="D0EAC3B4B15E48A2B8B8B9B6D0C61ADA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2C9241504E0C495B8B207F4D9411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EB06-0CE4-43B1-AD86-2A2350DB0422}"/>
      </w:docPartPr>
      <w:docPartBody>
        <w:p w:rsidR="0045270D" w:rsidRDefault="009E5777" w:rsidP="009E5777">
          <w:pPr>
            <w:pStyle w:val="2C9241504E0C495B8B207F4D9411E75A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EF7E0CE192824CC7BFEAD7C4C661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9FBD8-3B18-421C-81B4-704947DE44F2}"/>
      </w:docPartPr>
      <w:docPartBody>
        <w:p w:rsidR="0045270D" w:rsidRDefault="009E5777" w:rsidP="009E5777">
          <w:pPr>
            <w:pStyle w:val="EF7E0CE192824CC7BFEAD7C4C6618D78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11BE713FD46444618AA932282C59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32C1-2625-4D1E-A288-CF44C36F988F}"/>
      </w:docPartPr>
      <w:docPartBody>
        <w:p w:rsidR="0045270D" w:rsidRDefault="009E5777" w:rsidP="009E5777">
          <w:pPr>
            <w:pStyle w:val="11BE713FD46444618AA932282C594B85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83630FACA6634EC59D4143757F1F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DA37-036D-4CB8-BA59-07C113FBA9DE}"/>
      </w:docPartPr>
      <w:docPartBody>
        <w:p w:rsidR="0045270D" w:rsidRDefault="009E5777" w:rsidP="009E5777">
          <w:pPr>
            <w:pStyle w:val="83630FACA6634EC59D4143757F1F1FD9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B0F5DE209ED74D63AA67C0488C3D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6AD3-3C84-4E66-B4FF-CD2D54606F93}"/>
      </w:docPartPr>
      <w:docPartBody>
        <w:p w:rsidR="0045270D" w:rsidRDefault="009E5777" w:rsidP="009E5777">
          <w:pPr>
            <w:pStyle w:val="B0F5DE209ED74D63AA67C0488C3D6B7F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569545AE9650435D81EB4B3C593F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4477-C596-4EAB-8623-C956FFBD760A}"/>
      </w:docPartPr>
      <w:docPartBody>
        <w:p w:rsidR="0045270D" w:rsidRDefault="009E5777" w:rsidP="009E5777">
          <w:pPr>
            <w:pStyle w:val="569545AE9650435D81EB4B3C593FE5C3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6E5D6768B04F495B8190E3A17FDE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0476-369C-435E-8AB3-E9CC5335E55C}"/>
      </w:docPartPr>
      <w:docPartBody>
        <w:p w:rsidR="0045270D" w:rsidRDefault="009E5777" w:rsidP="009E5777">
          <w:pPr>
            <w:pStyle w:val="6E5D6768B04F495B8190E3A17FDEDF06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BAB3BC070FF54D3AB1103BB836D7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382E-8561-4DBB-BA00-B82D4AE8CD85}"/>
      </w:docPartPr>
      <w:docPartBody>
        <w:p w:rsidR="0045270D" w:rsidRDefault="009E5777" w:rsidP="009E5777">
          <w:pPr>
            <w:pStyle w:val="BAB3BC070FF54D3AB1103BB836D72C75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8518C2D1505D44E790CC9484AB8F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F02C-277F-4FC3-9CFD-9976F9CBB3E6}"/>
      </w:docPartPr>
      <w:docPartBody>
        <w:p w:rsidR="0045270D" w:rsidRDefault="009E5777" w:rsidP="009E5777">
          <w:pPr>
            <w:pStyle w:val="8518C2D1505D44E790CC9484AB8F102E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935334AA9FCD4D12A122271A2434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2A5B-194A-4180-930D-77D0177E9566}"/>
      </w:docPartPr>
      <w:docPartBody>
        <w:p w:rsidR="0045270D" w:rsidRDefault="009E5777" w:rsidP="009E5777">
          <w:pPr>
            <w:pStyle w:val="935334AA9FCD4D12A122271A2434B84F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46CB764AB7944F33B3249B2000D7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CD1A-CCDE-4F53-B2EA-FD2EC4ABCB26}"/>
      </w:docPartPr>
      <w:docPartBody>
        <w:p w:rsidR="0045270D" w:rsidRDefault="009E5777" w:rsidP="009E5777">
          <w:pPr>
            <w:pStyle w:val="46CB764AB7944F33B3249B2000D79DE7"/>
          </w:pPr>
          <w:r>
            <w:rPr>
              <w:rStyle w:val="PlaceholderText"/>
            </w:rPr>
            <w:t>Haga clic o toque aquí para introducir el texto.</w:t>
          </w:r>
        </w:p>
      </w:docPartBody>
    </w:docPart>
    <w:docPart>
      <w:docPartPr>
        <w:name w:val="A4A5B399F0424822A4BE03241E6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2CA6-A482-44BD-BB97-0E35B9D4AD62}"/>
      </w:docPartPr>
      <w:docPartBody>
        <w:p w:rsidR="0045270D" w:rsidRDefault="009E5777" w:rsidP="009E5777">
          <w:pPr>
            <w:pStyle w:val="A4A5B399F0424822A4BE03241E69135B"/>
          </w:pPr>
          <w:r w:rsidRPr="00D63F3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32CC290B81C44B18BA7A753B271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D5E81-BD6C-45C2-B5CD-0833331C10A5}"/>
      </w:docPartPr>
      <w:docPartBody>
        <w:p w:rsidR="0045270D" w:rsidRDefault="009E5777" w:rsidP="009E5777">
          <w:pPr>
            <w:pStyle w:val="C32CC290B81C44B18BA7A753B271F9E5"/>
          </w:pPr>
          <w:r>
            <w:rPr>
              <w:rStyle w:val="PlaceholderText"/>
              <w:color w:val="000000" w:themeColor="text1"/>
            </w:rPr>
            <w:t>Haga clic o toque aquí para introducir el texto.</w:t>
          </w:r>
        </w:p>
      </w:docPartBody>
    </w:docPart>
    <w:docPart>
      <w:docPartPr>
        <w:name w:val="0F50DD0FC07043019F52112D6A79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56C2-7639-457E-9550-C59D07C3D7D8}"/>
      </w:docPartPr>
      <w:docPartBody>
        <w:p w:rsidR="0045270D" w:rsidRDefault="009E5777" w:rsidP="009E5777">
          <w:pPr>
            <w:pStyle w:val="0F50DD0FC07043019F52112D6A79B2D5"/>
          </w:pPr>
          <w:r>
            <w:rPr>
              <w:rStyle w:val="PlaceholderText"/>
            </w:rPr>
            <w:t>Haga clic o toque aquí para introducir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77"/>
    <w:rsid w:val="0045270D"/>
    <w:rsid w:val="004E752C"/>
    <w:rsid w:val="009E5777"/>
    <w:rsid w:val="00C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777"/>
    <w:rPr>
      <w:color w:val="808080"/>
    </w:rPr>
  </w:style>
  <w:style w:type="paragraph" w:customStyle="1" w:styleId="E5155C609651405C9B9D70FB9CFBEA96">
    <w:name w:val="E5155C609651405C9B9D70FB9CFBEA96"/>
    <w:rsid w:val="009E5777"/>
  </w:style>
  <w:style w:type="paragraph" w:customStyle="1" w:styleId="0CB9A892BB9B4CA2A6D787A1F7C1282D">
    <w:name w:val="0CB9A892BB9B4CA2A6D787A1F7C1282D"/>
    <w:rsid w:val="009E5777"/>
  </w:style>
  <w:style w:type="paragraph" w:customStyle="1" w:styleId="3FF6E13DF42E47229E5778F8EC6629C2">
    <w:name w:val="3FF6E13DF42E47229E5778F8EC6629C2"/>
    <w:rsid w:val="009E5777"/>
  </w:style>
  <w:style w:type="paragraph" w:customStyle="1" w:styleId="63C5387F70D34E78A1548006D6AFA42D">
    <w:name w:val="63C5387F70D34E78A1548006D6AFA42D"/>
    <w:rsid w:val="009E5777"/>
  </w:style>
  <w:style w:type="paragraph" w:customStyle="1" w:styleId="9C9122485B8A4C66949A2D3F1C363CF8">
    <w:name w:val="9C9122485B8A4C66949A2D3F1C363CF8"/>
    <w:rsid w:val="009E5777"/>
  </w:style>
  <w:style w:type="paragraph" w:customStyle="1" w:styleId="2A6E2B49DB73467A83A50009052C5518">
    <w:name w:val="2A6E2B49DB73467A83A50009052C5518"/>
    <w:rsid w:val="009E5777"/>
  </w:style>
  <w:style w:type="paragraph" w:customStyle="1" w:styleId="CBB629FDEDB04FD094BC5A8F2D08E4A6">
    <w:name w:val="CBB629FDEDB04FD094BC5A8F2D08E4A6"/>
    <w:rsid w:val="009E5777"/>
  </w:style>
  <w:style w:type="paragraph" w:customStyle="1" w:styleId="02826A204FB14512A75275DD92332ADB">
    <w:name w:val="02826A204FB14512A75275DD92332ADB"/>
    <w:rsid w:val="009E5777"/>
  </w:style>
  <w:style w:type="paragraph" w:customStyle="1" w:styleId="71B07DE12A424E4883DDC6381F2EB861">
    <w:name w:val="71B07DE12A424E4883DDC6381F2EB861"/>
    <w:rsid w:val="009E5777"/>
  </w:style>
  <w:style w:type="paragraph" w:customStyle="1" w:styleId="2AD015EAB46C474FA0C4E75E5391385F">
    <w:name w:val="2AD015EAB46C474FA0C4E75E5391385F"/>
    <w:rsid w:val="009E5777"/>
  </w:style>
  <w:style w:type="paragraph" w:customStyle="1" w:styleId="72F0174F6CCA46D2B659B1721126355D">
    <w:name w:val="72F0174F6CCA46D2B659B1721126355D"/>
    <w:rsid w:val="009E5777"/>
  </w:style>
  <w:style w:type="paragraph" w:customStyle="1" w:styleId="DD62FF2B31604583B261321ECF4BEF05">
    <w:name w:val="DD62FF2B31604583B261321ECF4BEF05"/>
    <w:rsid w:val="009E5777"/>
  </w:style>
  <w:style w:type="paragraph" w:customStyle="1" w:styleId="A92A4879808644C2B6FC9366348ECC91">
    <w:name w:val="A92A4879808644C2B6FC9366348ECC91"/>
    <w:rsid w:val="009E5777"/>
  </w:style>
  <w:style w:type="paragraph" w:customStyle="1" w:styleId="CCCDA73909E84D4E948C43E7143801CA">
    <w:name w:val="CCCDA73909E84D4E948C43E7143801CA"/>
    <w:rsid w:val="009E5777"/>
  </w:style>
  <w:style w:type="paragraph" w:customStyle="1" w:styleId="6DF6A67D4ADF4D5EAE2DB9AA1461F88D">
    <w:name w:val="6DF6A67D4ADF4D5EAE2DB9AA1461F88D"/>
    <w:rsid w:val="009E5777"/>
  </w:style>
  <w:style w:type="paragraph" w:customStyle="1" w:styleId="4319C5BD73284038A4AC473C87D088A0">
    <w:name w:val="4319C5BD73284038A4AC473C87D088A0"/>
    <w:rsid w:val="009E5777"/>
  </w:style>
  <w:style w:type="paragraph" w:customStyle="1" w:styleId="FA088A048F344E5DB6BF51222DF9C10A">
    <w:name w:val="FA088A048F344E5DB6BF51222DF9C10A"/>
    <w:rsid w:val="009E5777"/>
  </w:style>
  <w:style w:type="paragraph" w:customStyle="1" w:styleId="4CA63666A668424D9EBBD7B14CAFCFDB">
    <w:name w:val="4CA63666A668424D9EBBD7B14CAFCFDB"/>
    <w:rsid w:val="009E5777"/>
  </w:style>
  <w:style w:type="paragraph" w:customStyle="1" w:styleId="854E5BC76FA94A3699A1FA0D908763C9">
    <w:name w:val="854E5BC76FA94A3699A1FA0D908763C9"/>
    <w:rsid w:val="009E5777"/>
  </w:style>
  <w:style w:type="paragraph" w:customStyle="1" w:styleId="D0EAC3B4B15E48A2B8B8B9B6D0C61ADA">
    <w:name w:val="D0EAC3B4B15E48A2B8B8B9B6D0C61ADA"/>
    <w:rsid w:val="009E5777"/>
  </w:style>
  <w:style w:type="paragraph" w:customStyle="1" w:styleId="2C9241504E0C495B8B207F4D9411E75A">
    <w:name w:val="2C9241504E0C495B8B207F4D9411E75A"/>
    <w:rsid w:val="009E5777"/>
  </w:style>
  <w:style w:type="paragraph" w:customStyle="1" w:styleId="EF7E0CE192824CC7BFEAD7C4C6618D78">
    <w:name w:val="EF7E0CE192824CC7BFEAD7C4C6618D78"/>
    <w:rsid w:val="009E5777"/>
  </w:style>
  <w:style w:type="paragraph" w:customStyle="1" w:styleId="11BE713FD46444618AA932282C594B85">
    <w:name w:val="11BE713FD46444618AA932282C594B85"/>
    <w:rsid w:val="009E5777"/>
  </w:style>
  <w:style w:type="paragraph" w:customStyle="1" w:styleId="83630FACA6634EC59D4143757F1F1FD9">
    <w:name w:val="83630FACA6634EC59D4143757F1F1FD9"/>
    <w:rsid w:val="009E5777"/>
  </w:style>
  <w:style w:type="paragraph" w:customStyle="1" w:styleId="B0F5DE209ED74D63AA67C0488C3D6B7F">
    <w:name w:val="B0F5DE209ED74D63AA67C0488C3D6B7F"/>
    <w:rsid w:val="009E5777"/>
  </w:style>
  <w:style w:type="paragraph" w:customStyle="1" w:styleId="569545AE9650435D81EB4B3C593FE5C3">
    <w:name w:val="569545AE9650435D81EB4B3C593FE5C3"/>
    <w:rsid w:val="009E5777"/>
  </w:style>
  <w:style w:type="paragraph" w:customStyle="1" w:styleId="6E5D6768B04F495B8190E3A17FDEDF06">
    <w:name w:val="6E5D6768B04F495B8190E3A17FDEDF06"/>
    <w:rsid w:val="009E5777"/>
  </w:style>
  <w:style w:type="paragraph" w:customStyle="1" w:styleId="BAB3BC070FF54D3AB1103BB836D72C75">
    <w:name w:val="BAB3BC070FF54D3AB1103BB836D72C75"/>
    <w:rsid w:val="009E5777"/>
  </w:style>
  <w:style w:type="paragraph" w:customStyle="1" w:styleId="8518C2D1505D44E790CC9484AB8F102E">
    <w:name w:val="8518C2D1505D44E790CC9484AB8F102E"/>
    <w:rsid w:val="009E5777"/>
  </w:style>
  <w:style w:type="paragraph" w:customStyle="1" w:styleId="935334AA9FCD4D12A122271A2434B84F">
    <w:name w:val="935334AA9FCD4D12A122271A2434B84F"/>
    <w:rsid w:val="009E5777"/>
  </w:style>
  <w:style w:type="paragraph" w:customStyle="1" w:styleId="46CB764AB7944F33B3249B2000D79DE7">
    <w:name w:val="46CB764AB7944F33B3249B2000D79DE7"/>
    <w:rsid w:val="009E5777"/>
  </w:style>
  <w:style w:type="paragraph" w:customStyle="1" w:styleId="A4A5B399F0424822A4BE03241E69135B">
    <w:name w:val="A4A5B399F0424822A4BE03241E69135B"/>
    <w:rsid w:val="009E5777"/>
  </w:style>
  <w:style w:type="paragraph" w:customStyle="1" w:styleId="C32CC290B81C44B18BA7A753B271F9E5">
    <w:name w:val="C32CC290B81C44B18BA7A753B271F9E5"/>
    <w:rsid w:val="009E5777"/>
  </w:style>
  <w:style w:type="paragraph" w:customStyle="1" w:styleId="0F50DD0FC07043019F52112D6A79B2D5">
    <w:name w:val="0F50DD0FC07043019F52112D6A79B2D5"/>
    <w:rsid w:val="009E5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8937</Words>
  <Characters>49338</Characters>
  <Application>Microsoft Office Word</Application>
  <DocSecurity>0</DocSecurity>
  <Lines>704</Lines>
  <Paragraphs>91</Paragraphs>
  <ScaleCrop>false</ScaleCrop>
  <Company/>
  <LinksUpToDate>false</LinksUpToDate>
  <CharactersWithSpaces>58184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Fatas, Jaime M - (jfatas)</dc:creator>
  <cp:keywords/>
  <dc:description/>
  <cp:lastModifiedBy>Freese, Erica - (ebfreese)</cp:lastModifiedBy>
  <cp:revision>2</cp:revision>
  <dcterms:created xsi:type="dcterms:W3CDTF">2020-11-06T20:57:00Z</dcterms:created>
  <dcterms:modified xsi:type="dcterms:W3CDTF">2020-11-06T20:57:00Z</dcterms:modified>
</cp:coreProperties>
</file>